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77777777" w:rsidR="00E338F1" w:rsidRDefault="00754AE8">
            <w:pPr>
              <w:rPr>
                <w:b/>
              </w:rPr>
            </w:pPr>
            <w:proofErr w:type="spellStart"/>
            <w:r>
              <w:rPr>
                <w:b/>
              </w:rPr>
              <w:t>Convenor</w:t>
            </w:r>
            <w:proofErr w:type="spellEnd"/>
            <w:r>
              <w:rPr>
                <w:b/>
              </w:rPr>
              <w:t>, Working Group 1; Chairman, Subcommittee 62C</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21BCE481" w:rsidR="00E338F1" w:rsidRDefault="00113F2F" w:rsidP="00BF3488">
            <w:pPr>
              <w:rPr>
                <w:b/>
              </w:rPr>
            </w:pPr>
            <w:r>
              <w:rPr>
                <w:b/>
              </w:rPr>
              <w:t xml:space="preserve">Attendance at </w:t>
            </w:r>
            <w:proofErr w:type="spellStart"/>
            <w:r>
              <w:rPr>
                <w:b/>
              </w:rPr>
              <w:t>AGaRT</w:t>
            </w:r>
            <w:proofErr w:type="spellEnd"/>
            <w:r>
              <w:rPr>
                <w:b/>
              </w:rPr>
              <w:t xml:space="preserve"> Meeting</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77D799AA" w:rsidR="00E338F1" w:rsidRDefault="00113F2F" w:rsidP="00BF3488">
            <w:pPr>
              <w:rPr>
                <w:b/>
              </w:rPr>
            </w:pPr>
            <w:r>
              <w:rPr>
                <w:b/>
              </w:rPr>
              <w:t>June 21-22</w:t>
            </w:r>
            <w:r w:rsidR="00754AE8">
              <w:rPr>
                <w:b/>
              </w:rPr>
              <w:t>, 201</w:t>
            </w:r>
            <w:r w:rsidR="00BF3488">
              <w:rPr>
                <w:b/>
              </w:rPr>
              <w:t>2</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1A047D9E" w:rsidR="00E338F1" w:rsidRDefault="00113F2F">
            <w:pPr>
              <w:rPr>
                <w:b/>
              </w:rPr>
            </w:pPr>
            <w:r>
              <w:rPr>
                <w:b/>
              </w:rPr>
              <w:t>Vienna, Austria</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77777777" w:rsidR="00E338F1" w:rsidRDefault="00754AE8">
            <w:pPr>
              <w:rPr>
                <w:b/>
              </w:rPr>
            </w:pPr>
            <w:r>
              <w:rPr>
                <w:b/>
              </w:rPr>
              <w:t>Travel reimbursement</w:t>
            </w:r>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58419B23" w:rsidR="00E338F1" w:rsidRDefault="00754AE8" w:rsidP="00113F2F">
            <w:pPr>
              <w:rPr>
                <w:b/>
              </w:rPr>
            </w:pPr>
            <w:r>
              <w:rPr>
                <w:b/>
              </w:rPr>
              <w:t>Attended to represent</w:t>
            </w:r>
            <w:r w:rsidR="00051CCA">
              <w:rPr>
                <w:b/>
              </w:rPr>
              <w:t xml:space="preserve"> the</w:t>
            </w:r>
            <w:r>
              <w:rPr>
                <w:b/>
              </w:rPr>
              <w:t xml:space="preserve"> </w:t>
            </w:r>
            <w:r w:rsidR="00113F2F">
              <w:rPr>
                <w:b/>
              </w:rPr>
              <w:t>IEC</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787A81D4" w14:textId="77777777" w:rsidR="003164D9" w:rsidRPr="003164D9" w:rsidRDefault="003164D9">
      <w:pPr>
        <w:rPr>
          <w:b/>
        </w:rPr>
      </w:pPr>
    </w:p>
    <w:p w14:paraId="23BEEC56" w14:textId="77777777" w:rsidR="00113F2F" w:rsidRDefault="00113F2F" w:rsidP="00113F2F">
      <w:pPr>
        <w:pStyle w:val="Body1"/>
      </w:pPr>
      <w:r>
        <w:rPr>
          <w:rFonts w:hAnsi="Arial Unicode MS"/>
        </w:rPr>
        <w:t xml:space="preserve">Report of Attendance at </w:t>
      </w:r>
      <w:proofErr w:type="spellStart"/>
      <w:r>
        <w:rPr>
          <w:rFonts w:hAnsi="Arial Unicode MS"/>
        </w:rPr>
        <w:t>AGaRT</w:t>
      </w:r>
      <w:proofErr w:type="spellEnd"/>
      <w:r>
        <w:rPr>
          <w:rFonts w:hAnsi="Arial Unicode MS"/>
        </w:rPr>
        <w:t xml:space="preserve"> Meeting</w:t>
      </w:r>
    </w:p>
    <w:p w14:paraId="6E7D557D" w14:textId="77777777" w:rsidR="00113F2F" w:rsidRDefault="00113F2F" w:rsidP="00113F2F">
      <w:pPr>
        <w:pStyle w:val="Body1"/>
      </w:pPr>
      <w:r>
        <w:rPr>
          <w:rFonts w:hAnsi="Arial Unicode MS"/>
        </w:rPr>
        <w:t>International Atomic Energy Agency</w:t>
      </w:r>
    </w:p>
    <w:p w14:paraId="594589BB" w14:textId="77777777" w:rsidR="00113F2F" w:rsidRDefault="00113F2F" w:rsidP="00113F2F">
      <w:pPr>
        <w:pStyle w:val="Body1"/>
      </w:pPr>
      <w:r>
        <w:rPr>
          <w:rFonts w:hAnsi="Arial Unicode MS"/>
        </w:rPr>
        <w:t>Vienna, Austria</w:t>
      </w:r>
    </w:p>
    <w:p w14:paraId="5BC1A55F" w14:textId="77777777" w:rsidR="00113F2F" w:rsidRDefault="00113F2F" w:rsidP="00113F2F">
      <w:pPr>
        <w:pStyle w:val="Body1"/>
      </w:pPr>
      <w:r>
        <w:rPr>
          <w:rFonts w:hAnsi="Arial Unicode MS"/>
        </w:rPr>
        <w:t>June 21-22, 2012</w:t>
      </w:r>
    </w:p>
    <w:p w14:paraId="2EF21091" w14:textId="77777777" w:rsidR="00113F2F" w:rsidRDefault="00113F2F" w:rsidP="00113F2F">
      <w:pPr>
        <w:pStyle w:val="Body1"/>
      </w:pPr>
    </w:p>
    <w:p w14:paraId="17726976" w14:textId="77777777" w:rsidR="00113F2F" w:rsidRDefault="00113F2F" w:rsidP="00113F2F">
      <w:pPr>
        <w:pStyle w:val="Body1"/>
      </w:pPr>
      <w:r>
        <w:rPr>
          <w:rFonts w:hAnsi="Arial Unicode MS"/>
        </w:rPr>
        <w:t xml:space="preserve">In 2009, the IAEA created the Advisory Group on increasing access to Radiotherapy Technology in low and </w:t>
      </w:r>
      <w:proofErr w:type="gramStart"/>
      <w:r>
        <w:rPr>
          <w:rFonts w:hAnsi="Arial Unicode MS"/>
        </w:rPr>
        <w:t>middle income</w:t>
      </w:r>
      <w:proofErr w:type="gramEnd"/>
      <w:r>
        <w:rPr>
          <w:rFonts w:hAnsi="Arial Unicode MS"/>
        </w:rPr>
        <w:t xml:space="preserve"> countries (</w:t>
      </w:r>
      <w:proofErr w:type="spellStart"/>
      <w:r>
        <w:rPr>
          <w:rFonts w:hAnsi="Arial Unicode MS"/>
        </w:rPr>
        <w:t>AGaRT</w:t>
      </w:r>
      <w:proofErr w:type="spellEnd"/>
      <w:r>
        <w:rPr>
          <w:rFonts w:hAnsi="Arial Unicode MS"/>
        </w:rPr>
        <w:t xml:space="preserve">). The </w:t>
      </w:r>
      <w:proofErr w:type="spellStart"/>
      <w:r>
        <w:rPr>
          <w:rFonts w:hAnsi="Arial Unicode MS"/>
        </w:rPr>
        <w:t>AGaRT</w:t>
      </w:r>
      <w:proofErr w:type="spellEnd"/>
      <w:r>
        <w:rPr>
          <w:rFonts w:hAnsi="Arial Unicode MS"/>
        </w:rPr>
        <w:t xml:space="preserve"> was developed within the </w:t>
      </w:r>
      <w:proofErr w:type="spellStart"/>
      <w:r>
        <w:rPr>
          <w:rFonts w:hAnsi="Arial Unicode MS"/>
        </w:rPr>
        <w:t>Programme</w:t>
      </w:r>
      <w:proofErr w:type="spellEnd"/>
      <w:r>
        <w:rPr>
          <w:rFonts w:hAnsi="Arial Unicode MS"/>
        </w:rPr>
        <w:t xml:space="preserve"> of Action for Cancer Therapy (PACT), whose role is leverage international collaborations to develop and manage projects directed toward fighting cancer in the developing world. </w:t>
      </w:r>
    </w:p>
    <w:p w14:paraId="1B44A518" w14:textId="77777777" w:rsidR="00113F2F" w:rsidRDefault="00113F2F" w:rsidP="00113F2F">
      <w:pPr>
        <w:pStyle w:val="Body1"/>
      </w:pPr>
    </w:p>
    <w:p w14:paraId="337E394D" w14:textId="77777777" w:rsidR="00113F2F" w:rsidRDefault="00113F2F" w:rsidP="00113F2F">
      <w:pPr>
        <w:pStyle w:val="Body1"/>
      </w:pPr>
      <w:r>
        <w:rPr>
          <w:rFonts w:hAnsi="Arial Unicode MS"/>
        </w:rPr>
        <w:t xml:space="preserve">The first meeting of </w:t>
      </w:r>
      <w:proofErr w:type="spellStart"/>
      <w:r>
        <w:rPr>
          <w:rFonts w:hAnsi="Arial Unicode MS"/>
        </w:rPr>
        <w:t>AGaRT</w:t>
      </w:r>
      <w:proofErr w:type="spellEnd"/>
      <w:r>
        <w:rPr>
          <w:rFonts w:hAnsi="Arial Unicode MS"/>
        </w:rPr>
        <w:t xml:space="preserve"> was held in 2010, and representatives of low and </w:t>
      </w:r>
      <w:proofErr w:type="gramStart"/>
      <w:r>
        <w:rPr>
          <w:rFonts w:hAnsi="Arial Unicode MS"/>
        </w:rPr>
        <w:t>middle income</w:t>
      </w:r>
      <w:proofErr w:type="gramEnd"/>
      <w:r>
        <w:rPr>
          <w:rFonts w:hAnsi="Arial Unicode MS"/>
        </w:rPr>
        <w:t xml:space="preserve"> countries were invited, as were representatives of manufacturers of radiotherapy equipment. Observers from several international organizations </w:t>
      </w:r>
      <w:r>
        <w:rPr>
          <w:rFonts w:hAnsi="Arial Unicode MS"/>
        </w:rPr>
        <w:lastRenderedPageBreak/>
        <w:t xml:space="preserve">with an interest in radiation therapy were also invited. As chair of IEC subcommittee 62C, I was invited but was unable to attend due to a conflict. My predecessor as chair of subcommittee 62C, Professor Stephen </w:t>
      </w:r>
      <w:proofErr w:type="spellStart"/>
      <w:r>
        <w:rPr>
          <w:rFonts w:hAnsi="Arial Unicode MS"/>
        </w:rPr>
        <w:t>Lillicrap</w:t>
      </w:r>
      <w:proofErr w:type="spellEnd"/>
      <w:r>
        <w:rPr>
          <w:rFonts w:hAnsi="Arial Unicode MS"/>
        </w:rPr>
        <w:t xml:space="preserve">, attended both the first meeting in 2010 and the second meeting in 2010, when I again had a conflict. </w:t>
      </w:r>
    </w:p>
    <w:p w14:paraId="0C68FF90" w14:textId="77777777" w:rsidR="00113F2F" w:rsidRDefault="00113F2F" w:rsidP="00113F2F">
      <w:pPr>
        <w:pStyle w:val="Body1"/>
      </w:pPr>
    </w:p>
    <w:p w14:paraId="332100D1" w14:textId="77777777" w:rsidR="00113F2F" w:rsidRDefault="00113F2F" w:rsidP="00113F2F">
      <w:pPr>
        <w:pStyle w:val="Body1"/>
      </w:pPr>
      <w:r>
        <w:rPr>
          <w:rFonts w:hAnsi="Arial Unicode MS"/>
        </w:rPr>
        <w:t xml:space="preserve">At this, the third meeting of </w:t>
      </w:r>
      <w:proofErr w:type="spellStart"/>
      <w:r>
        <w:rPr>
          <w:rFonts w:hAnsi="Arial Unicode MS"/>
        </w:rPr>
        <w:t>AGaRT</w:t>
      </w:r>
      <w:proofErr w:type="spellEnd"/>
      <w:r>
        <w:rPr>
          <w:rFonts w:hAnsi="Arial Unicode MS"/>
        </w:rPr>
        <w:t xml:space="preserve">, the agenda (attached) called for a review of the report from the second meeting, at which a set of recommendations were made for actions to be taken by the </w:t>
      </w:r>
      <w:proofErr w:type="spellStart"/>
      <w:r>
        <w:rPr>
          <w:rFonts w:hAnsi="Arial Unicode MS"/>
        </w:rPr>
        <w:t>AGaRT</w:t>
      </w:r>
      <w:proofErr w:type="spellEnd"/>
      <w:r>
        <w:rPr>
          <w:rFonts w:hAnsi="Arial Unicode MS"/>
        </w:rPr>
        <w:t xml:space="preserve"> members and by the IAEA. Given that the second meeting was held in November 2011 and only six months had passed, not a great deal of activity had occurred. However, the terms of reference (attached) were reviewed and discussed. Progress had been made on the 1st year activities and several of the 2nd to 3rd year activities. The following of the original activities remain to be addressed:</w:t>
      </w:r>
    </w:p>
    <w:p w14:paraId="14293309" w14:textId="77777777" w:rsidR="00113F2F" w:rsidRDefault="00113F2F" w:rsidP="00113F2F">
      <w:pPr>
        <w:pStyle w:val="Body1"/>
      </w:pPr>
    </w:p>
    <w:p w14:paraId="0B97A355" w14:textId="77777777" w:rsidR="00113F2F" w:rsidRDefault="00113F2F" w:rsidP="00113F2F">
      <w:pPr>
        <w:pStyle w:val="Body1"/>
      </w:pPr>
      <w:r>
        <w:rPr>
          <w:rFonts w:hAnsi="Arial Unicode MS"/>
        </w:rPr>
        <w:t>VI. 2nd to 3rd year Activities</w:t>
      </w:r>
    </w:p>
    <w:p w14:paraId="5361BD28" w14:textId="77777777" w:rsidR="00113F2F" w:rsidRPr="00DB1DFC" w:rsidRDefault="00113F2F" w:rsidP="00113F2F">
      <w:pPr>
        <w:widowControl w:val="0"/>
        <w:numPr>
          <w:ilvl w:val="0"/>
          <w:numId w:val="6"/>
        </w:numPr>
        <w:tabs>
          <w:tab w:val="left" w:pos="220"/>
          <w:tab w:val="left" w:pos="720"/>
        </w:tabs>
        <w:autoSpaceDE w:val="0"/>
        <w:autoSpaceDN w:val="0"/>
        <w:adjustRightInd w:val="0"/>
        <w:spacing w:after="280"/>
        <w:rPr>
          <w:rFonts w:ascii="Helvetica" w:eastAsia="Arial Unicode MS" w:hAnsi="Arial Unicode MS"/>
          <w:color w:val="000000"/>
          <w:szCs w:val="20"/>
        </w:rPr>
      </w:pPr>
      <w:r w:rsidRPr="00DB1DFC">
        <w:rPr>
          <w:rFonts w:ascii="Helvetica" w:eastAsia="Arial Unicode MS" w:hAnsi="Arial Unicode MS"/>
          <w:color w:val="000000"/>
          <w:szCs w:val="20"/>
        </w:rPr>
        <w:t xml:space="preserve"> Review and recommend minimum requirements for operating radiotherapy equipment in terms of working conditions, infrastructure etc.; </w:t>
      </w:r>
    </w:p>
    <w:p w14:paraId="67A29A18" w14:textId="77777777" w:rsidR="00113F2F" w:rsidRPr="00DB1DFC" w:rsidRDefault="00113F2F" w:rsidP="00113F2F">
      <w:pPr>
        <w:widowControl w:val="0"/>
        <w:numPr>
          <w:ilvl w:val="0"/>
          <w:numId w:val="6"/>
        </w:numPr>
        <w:tabs>
          <w:tab w:val="left" w:pos="220"/>
          <w:tab w:val="left" w:pos="720"/>
        </w:tabs>
        <w:autoSpaceDE w:val="0"/>
        <w:autoSpaceDN w:val="0"/>
        <w:adjustRightInd w:val="0"/>
        <w:spacing w:after="280"/>
        <w:rPr>
          <w:rFonts w:ascii="Helvetica" w:eastAsia="Arial Unicode MS" w:hAnsi="Arial Unicode MS"/>
          <w:color w:val="000000"/>
          <w:szCs w:val="20"/>
        </w:rPr>
      </w:pPr>
      <w:r w:rsidRPr="00DB1DFC">
        <w:rPr>
          <w:rFonts w:ascii="Helvetica" w:eastAsia="Arial Unicode MS" w:hAnsi="Arial Unicode MS"/>
          <w:color w:val="000000"/>
          <w:szCs w:val="20"/>
        </w:rPr>
        <w:t xml:space="preserve">Review and recommend affordable, appropriate and suitable radiotherapy equipment packages and radiotherapy turn-key solutions; </w:t>
      </w:r>
    </w:p>
    <w:p w14:paraId="63FE8081" w14:textId="77777777" w:rsidR="00113F2F" w:rsidRPr="00DB1DFC" w:rsidRDefault="00113F2F" w:rsidP="00113F2F">
      <w:pPr>
        <w:pStyle w:val="Body1"/>
        <w:numPr>
          <w:ilvl w:val="0"/>
          <w:numId w:val="6"/>
        </w:numPr>
        <w:rPr>
          <w:rFonts w:hAnsi="Arial Unicode MS"/>
        </w:rPr>
      </w:pPr>
      <w:r>
        <w:rPr>
          <w:rFonts w:hAnsi="Arial Unicode MS"/>
        </w:rPr>
        <w:t xml:space="preserve">Review financial schemes (and recommend new ones when feasible) for delivery of radiotherapy equipment packages and radiotherapy </w:t>
      </w:r>
      <w:proofErr w:type="gramStart"/>
      <w:r>
        <w:rPr>
          <w:rFonts w:hAnsi="Arial Unicode MS"/>
        </w:rPr>
        <w:t>turn-key</w:t>
      </w:r>
      <w:proofErr w:type="gramEnd"/>
      <w:r>
        <w:rPr>
          <w:rFonts w:hAnsi="Arial Unicode MS"/>
        </w:rPr>
        <w:t xml:space="preserve"> solutions.</w:t>
      </w:r>
    </w:p>
    <w:p w14:paraId="3594C362" w14:textId="77777777" w:rsidR="00113F2F" w:rsidRDefault="00113F2F" w:rsidP="00113F2F">
      <w:pPr>
        <w:pStyle w:val="Body1"/>
      </w:pPr>
    </w:p>
    <w:p w14:paraId="27185D5F" w14:textId="77777777" w:rsidR="00113F2F" w:rsidRDefault="00113F2F" w:rsidP="00113F2F">
      <w:pPr>
        <w:pStyle w:val="Body1"/>
      </w:pPr>
    </w:p>
    <w:p w14:paraId="6CC2C606" w14:textId="77777777" w:rsidR="00113F2F" w:rsidRDefault="00113F2F" w:rsidP="00113F2F">
      <w:pPr>
        <w:pStyle w:val="Body1"/>
      </w:pPr>
      <w:r>
        <w:rPr>
          <w:rFonts w:hAnsi="Arial Unicode MS"/>
        </w:rPr>
        <w:t>VII. 3rd to 5th year Activities</w:t>
      </w:r>
    </w:p>
    <w:p w14:paraId="0733BD15" w14:textId="77777777" w:rsidR="00113F2F" w:rsidRPr="00DB1DFC" w:rsidRDefault="00113F2F" w:rsidP="00113F2F">
      <w:pPr>
        <w:widowControl w:val="0"/>
        <w:numPr>
          <w:ilvl w:val="0"/>
          <w:numId w:val="6"/>
        </w:numPr>
        <w:tabs>
          <w:tab w:val="left" w:pos="220"/>
          <w:tab w:val="left" w:pos="720"/>
        </w:tabs>
        <w:autoSpaceDE w:val="0"/>
        <w:autoSpaceDN w:val="0"/>
        <w:adjustRightInd w:val="0"/>
        <w:spacing w:after="280"/>
        <w:rPr>
          <w:rFonts w:ascii="Helvetica" w:eastAsia="Arial Unicode MS" w:hAnsi="Arial Unicode MS"/>
          <w:color w:val="000000"/>
          <w:szCs w:val="20"/>
        </w:rPr>
      </w:pPr>
      <w:r w:rsidRPr="00DB1DFC">
        <w:rPr>
          <w:rFonts w:ascii="Helvetica" w:eastAsia="Arial Unicode MS" w:hAnsi="Arial Unicode MS"/>
          <w:color w:val="000000"/>
          <w:szCs w:val="20"/>
        </w:rPr>
        <w:t>Develop and recommend guidelines for facility design, operation and maintenance of radiotherapy equipment to guarantee the development and production of affordable, suitable and highly reliable radiotherapy solutions for LMI countries in the future.</w:t>
      </w:r>
    </w:p>
    <w:p w14:paraId="66E98D7E" w14:textId="77777777" w:rsidR="00113F2F" w:rsidRPr="00DB1DFC" w:rsidRDefault="00113F2F" w:rsidP="00113F2F">
      <w:pPr>
        <w:widowControl w:val="0"/>
        <w:numPr>
          <w:ilvl w:val="0"/>
          <w:numId w:val="6"/>
        </w:numPr>
        <w:tabs>
          <w:tab w:val="left" w:pos="220"/>
          <w:tab w:val="left" w:pos="720"/>
        </w:tabs>
        <w:autoSpaceDE w:val="0"/>
        <w:autoSpaceDN w:val="0"/>
        <w:adjustRightInd w:val="0"/>
        <w:spacing w:after="280"/>
        <w:rPr>
          <w:rFonts w:ascii="Helvetica" w:eastAsia="Arial Unicode MS" w:hAnsi="Arial Unicode MS"/>
          <w:color w:val="000000"/>
          <w:szCs w:val="20"/>
        </w:rPr>
      </w:pPr>
      <w:r w:rsidRPr="00DB1DFC">
        <w:rPr>
          <w:rFonts w:ascii="Helvetica" w:eastAsia="Arial Unicode MS" w:hAnsi="Arial Unicode MS"/>
          <w:color w:val="000000"/>
          <w:szCs w:val="20"/>
        </w:rPr>
        <w:t>Develop and recommend guidelines for sale and service contracts to ensure affordable radiotherapy solutions with guaranteed long-term functionality for LMI countries in the future.</w:t>
      </w:r>
    </w:p>
    <w:p w14:paraId="28E603D3" w14:textId="77777777" w:rsidR="00113F2F" w:rsidRDefault="00113F2F" w:rsidP="00113F2F">
      <w:pPr>
        <w:pStyle w:val="Body1"/>
      </w:pPr>
    </w:p>
    <w:p w14:paraId="1B2D8275" w14:textId="77777777" w:rsidR="00113F2F" w:rsidRDefault="00113F2F" w:rsidP="00113F2F">
      <w:pPr>
        <w:pStyle w:val="Body1"/>
      </w:pPr>
      <w:r>
        <w:rPr>
          <w:rFonts w:hAnsi="Arial Unicode MS"/>
        </w:rPr>
        <w:t xml:space="preserve">Considerable discussion was held on these activities and the direction to take.  </w:t>
      </w:r>
      <w:proofErr w:type="gramStart"/>
      <w:r>
        <w:rPr>
          <w:rFonts w:hAnsi="Arial Unicode MS"/>
        </w:rPr>
        <w:t>Presentations were made by several invited speakers including representatives of the IAEA and WHO, and a representative of the Harvard Global Equity Initiative</w:t>
      </w:r>
      <w:proofErr w:type="gramEnd"/>
      <w:r>
        <w:rPr>
          <w:rFonts w:hAnsi="Arial Unicode MS"/>
        </w:rPr>
        <w:t xml:space="preserve">. Each of the manufacturers represented had been invited to present their proposals for radiotherapy solutions to meet the 3rd to 5th year goals. These presentations stimulated much discussion, particularly with regard to the importance of training and service. The regional representatives indicated their </w:t>
      </w:r>
      <w:r>
        <w:rPr>
          <w:rFonts w:hAnsi="Arial Unicode MS"/>
        </w:rPr>
        <w:lastRenderedPageBreak/>
        <w:t>desire that the proposed solutions be offered with an all-inclusive price that guaranteed installation, training, service and maintenance for a long term such as 5 to 10 years.</w:t>
      </w:r>
    </w:p>
    <w:p w14:paraId="3BF27CF3" w14:textId="77777777" w:rsidR="00113F2F" w:rsidRDefault="00113F2F" w:rsidP="00113F2F">
      <w:pPr>
        <w:pStyle w:val="Body1"/>
      </w:pPr>
    </w:p>
    <w:p w14:paraId="60B043D4" w14:textId="77777777" w:rsidR="00113F2F" w:rsidRDefault="00113F2F" w:rsidP="00113F2F">
      <w:pPr>
        <w:pStyle w:val="Body1"/>
      </w:pPr>
      <w:r>
        <w:rPr>
          <w:rFonts w:hAnsi="Arial Unicode MS"/>
        </w:rPr>
        <w:t>The following decisions were reached:</w:t>
      </w:r>
    </w:p>
    <w:p w14:paraId="6526F5C7" w14:textId="77777777" w:rsidR="00113F2F" w:rsidRDefault="00113F2F" w:rsidP="00113F2F">
      <w:pPr>
        <w:pStyle w:val="Body1"/>
        <w:numPr>
          <w:ilvl w:val="0"/>
          <w:numId w:val="5"/>
        </w:numPr>
        <w:tabs>
          <w:tab w:val="num" w:pos="360"/>
        </w:tabs>
        <w:ind w:left="360"/>
      </w:pPr>
      <w:r>
        <w:rPr>
          <w:rFonts w:hAnsi="Arial Unicode MS"/>
        </w:rPr>
        <w:t>The regional representatives would, during the next month, finalize their recommendations for radiotherapy solutions at three levels of sophistication. Communication is to be handled by email. These recommendations would be forwarded to the IAEA secretariat for review.</w:t>
      </w:r>
    </w:p>
    <w:p w14:paraId="22AFC45D" w14:textId="77777777" w:rsidR="00113F2F" w:rsidRDefault="00113F2F" w:rsidP="00113F2F">
      <w:pPr>
        <w:pStyle w:val="Body1"/>
        <w:numPr>
          <w:ilvl w:val="0"/>
          <w:numId w:val="5"/>
        </w:numPr>
        <w:tabs>
          <w:tab w:val="num" w:pos="360"/>
        </w:tabs>
        <w:ind w:left="360"/>
      </w:pPr>
      <w:r>
        <w:rPr>
          <w:rFonts w:hAnsi="Arial Unicode MS"/>
        </w:rPr>
        <w:t xml:space="preserve">The IAEA secretariat would distribute publications based on the IAEA Report on Establishing a Radiotherapy </w:t>
      </w:r>
      <w:proofErr w:type="spellStart"/>
      <w:r>
        <w:rPr>
          <w:rFonts w:hAnsi="Arial Unicode MS"/>
        </w:rPr>
        <w:t>Programme</w:t>
      </w:r>
      <w:proofErr w:type="spellEnd"/>
      <w:r>
        <w:rPr>
          <w:rFonts w:hAnsi="Arial Unicode MS"/>
        </w:rPr>
        <w:t>.</w:t>
      </w:r>
    </w:p>
    <w:p w14:paraId="4C0CDAEF" w14:textId="77777777" w:rsidR="00113F2F" w:rsidRDefault="00113F2F" w:rsidP="00113F2F">
      <w:pPr>
        <w:pStyle w:val="Body1"/>
        <w:numPr>
          <w:ilvl w:val="0"/>
          <w:numId w:val="5"/>
        </w:numPr>
        <w:tabs>
          <w:tab w:val="num" w:pos="360"/>
        </w:tabs>
        <w:ind w:left="360"/>
      </w:pPr>
      <w:r>
        <w:rPr>
          <w:rFonts w:hAnsi="Arial Unicode MS"/>
        </w:rPr>
        <w:t>Manufacturers would consider responses to the recommendations for complete solutions made by the regional representatives.</w:t>
      </w:r>
    </w:p>
    <w:p w14:paraId="2437D0AD" w14:textId="77777777" w:rsidR="00113F2F" w:rsidRDefault="00113F2F" w:rsidP="00113F2F">
      <w:pPr>
        <w:pStyle w:val="Body1"/>
        <w:numPr>
          <w:ilvl w:val="0"/>
          <w:numId w:val="5"/>
        </w:numPr>
        <w:tabs>
          <w:tab w:val="num" w:pos="360"/>
        </w:tabs>
        <w:ind w:left="360"/>
      </w:pPr>
      <w:r>
        <w:rPr>
          <w:rFonts w:hAnsi="Arial Unicode MS"/>
        </w:rPr>
        <w:t>Another meeting is expected to take place in 2013.</w:t>
      </w:r>
    </w:p>
    <w:p w14:paraId="0C4D4C20" w14:textId="77777777" w:rsidR="00113F2F" w:rsidRDefault="00113F2F" w:rsidP="00113F2F">
      <w:pPr>
        <w:pStyle w:val="Body1"/>
      </w:pPr>
    </w:p>
    <w:p w14:paraId="0C6E21D9" w14:textId="77777777" w:rsidR="00113F2F" w:rsidRDefault="00113F2F" w:rsidP="00113F2F">
      <w:pPr>
        <w:pStyle w:val="Body1"/>
        <w:rPr>
          <w:rFonts w:hAnsi="Arial Unicode MS"/>
        </w:rPr>
      </w:pPr>
      <w:r>
        <w:rPr>
          <w:rFonts w:hAnsi="Arial Unicode MS"/>
        </w:rPr>
        <w:t>Respectfully submitted by,</w:t>
      </w:r>
    </w:p>
    <w:p w14:paraId="78153A7A" w14:textId="77777777" w:rsidR="00113F2F" w:rsidRDefault="00113F2F" w:rsidP="00113F2F">
      <w:pPr>
        <w:pStyle w:val="Body1"/>
      </w:pPr>
    </w:p>
    <w:p w14:paraId="61714072" w14:textId="1140CC91" w:rsidR="00113F2F" w:rsidRDefault="00113F2F" w:rsidP="00113F2F">
      <w:pPr>
        <w:pStyle w:val="Body1"/>
      </w:pPr>
      <w:r>
        <w:rPr>
          <w:noProof/>
        </w:rPr>
        <w:drawing>
          <wp:inline distT="0" distB="0" distL="0" distR="0" wp14:anchorId="350BE0E1" wp14:editId="7A790EFC">
            <wp:extent cx="1164590" cy="506730"/>
            <wp:effectExtent l="0" t="0" r="3810" b="1270"/>
            <wp:docPr id="2" name="Picture 1" descr="GeoffIbbot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ffIbbot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506730"/>
                    </a:xfrm>
                    <a:prstGeom prst="rect">
                      <a:avLst/>
                    </a:prstGeom>
                    <a:noFill/>
                    <a:ln>
                      <a:noFill/>
                    </a:ln>
                  </pic:spPr>
                </pic:pic>
              </a:graphicData>
            </a:graphic>
          </wp:inline>
        </w:drawing>
      </w:r>
    </w:p>
    <w:p w14:paraId="50C2456E" w14:textId="77777777" w:rsidR="00113F2F" w:rsidRDefault="00113F2F" w:rsidP="00113F2F">
      <w:pPr>
        <w:pStyle w:val="Body1"/>
        <w:rPr>
          <w:rFonts w:ascii="Times New Roman" w:eastAsia="Times New Roman" w:hAnsi="Times New Roman"/>
          <w:color w:val="auto"/>
          <w:sz w:val="20"/>
          <w:lang w:val="en-US" w:eastAsia="en-US" w:bidi="x-none"/>
        </w:rPr>
      </w:pPr>
      <w:r>
        <w:rPr>
          <w:rFonts w:hAnsi="Arial Unicode MS"/>
        </w:rPr>
        <w:t>Geoffrey S. Ibbott, PhD</w:t>
      </w:r>
    </w:p>
    <w:p w14:paraId="63FCCABE" w14:textId="77777777" w:rsidR="003164D9" w:rsidRPr="003164D9" w:rsidRDefault="003164D9">
      <w:pPr>
        <w:rPr>
          <w:b/>
        </w:rPr>
      </w:pPr>
      <w:bookmarkStart w:id="0" w:name="_GoBack"/>
      <w:bookmarkEnd w:id="0"/>
    </w:p>
    <w:sectPr w:rsidR="003164D9" w:rsidRPr="003164D9" w:rsidSect="00BB096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23762D" w:rsidRDefault="00BF3488">
      <w:r>
        <w:separator/>
      </w:r>
    </w:p>
  </w:endnote>
  <w:endnote w:type="continuationSeparator" w:id="0">
    <w:p w14:paraId="4C0892D4" w14:textId="77777777" w:rsidR="0023762D" w:rsidRDefault="00BF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0453" w14:textId="77777777" w:rsidR="00B84D0C" w:rsidRDefault="00AF625A">
    <w:pPr>
      <w:pStyle w:val="Footer"/>
    </w:pPr>
    <w:r>
      <w:rPr>
        <w:noProof/>
        <w:lang w:val="en-US" w:eastAsia="en-US"/>
      </w:rPr>
      <mc:AlternateContent>
        <mc:Choice Requires="wps">
          <w:drawing>
            <wp:anchor distT="0" distB="0" distL="114300" distR="114300" simplePos="0" relativeHeight="251660288" behindDoc="0" locked="0" layoutInCell="1" allowOverlap="1" wp14:anchorId="79D010E7" wp14:editId="3E2567E7">
              <wp:simplePos x="0" y="0"/>
              <wp:positionH relativeFrom="page">
                <wp:posOffset>648335</wp:posOffset>
              </wp:positionH>
              <wp:positionV relativeFrom="page">
                <wp:posOffset>10189210</wp:posOffset>
              </wp:positionV>
              <wp:extent cx="2306320" cy="228600"/>
              <wp:effectExtent l="635" t="381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6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7AB" w14:textId="77777777" w:rsidR="00B84D0C" w:rsidRPr="00A41D0D" w:rsidRDefault="00051CCA">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wps:txbx>
                    <wps:bodyPr rot="0" vert="horz" wrap="non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05pt;margin-top:802.3pt;width:181.6pt;height:18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" filled="f" stroked="f">
              <o:lock v:ext="edit" aspectratio="t"/>
              <v:textbox inset=".5mm,,1mm">
                <w:txbxContent>
                  <w:p w14:paraId="3C0FD7AB" w14:textId="77777777" w:rsidR="00B84D0C" w:rsidRPr="00A41D0D" w:rsidRDefault="00051CCA">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23762D" w:rsidRDefault="00BF3488">
      <w:r>
        <w:separator/>
      </w:r>
    </w:p>
  </w:footnote>
  <w:footnote w:type="continuationSeparator" w:id="0">
    <w:p w14:paraId="744379CB" w14:textId="77777777" w:rsidR="0023762D" w:rsidRDefault="00BF34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7"/>
    <w:multiLevelType w:val="multilevel"/>
    <w:tmpl w:val="894EE879"/>
    <w:numStyleLink w:val="Numbered"/>
  </w:abstractNum>
  <w:abstractNum w:abstractNumId="2">
    <w:nsid w:val="0F35225D"/>
    <w:multiLevelType w:val="hybridMultilevel"/>
    <w:tmpl w:val="1E46D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13F2F"/>
    <w:rsid w:val="001D3AF5"/>
    <w:rsid w:val="0023762D"/>
    <w:rsid w:val="003164D9"/>
    <w:rsid w:val="00754AE8"/>
    <w:rsid w:val="00AE24F9"/>
    <w:rsid w:val="00AF625A"/>
    <w:rsid w:val="00B804D1"/>
    <w:rsid w:val="00BB0960"/>
    <w:rsid w:val="00BF3488"/>
    <w:rsid w:val="00E338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customStyle="1" w:styleId="Body1">
    <w:name w:val="Body 1"/>
    <w:rsid w:val="00113F2F"/>
    <w:rPr>
      <w:rFonts w:ascii="Helvetica" w:eastAsia="Arial Unicode MS" w:hAnsi="Helvetica"/>
      <w:color w:val="000000"/>
      <w:sz w:val="24"/>
    </w:rPr>
  </w:style>
  <w:style w:type="paragraph" w:customStyle="1" w:styleId="Numbered">
    <w:name w:val="Numbered"/>
    <w:rsid w:val="00113F2F"/>
    <w:pPr>
      <w:numPr>
        <w:numId w:val="6"/>
      </w:numPr>
    </w:pPr>
    <w:rPr>
      <w:rFonts w:eastAsia="Times New Roman"/>
    </w:rPr>
  </w:style>
  <w:style w:type="paragraph" w:styleId="BalloonText">
    <w:name w:val="Balloon Text"/>
    <w:basedOn w:val="Normal"/>
    <w:link w:val="BalloonTextChar"/>
    <w:rsid w:val="00113F2F"/>
    <w:rPr>
      <w:rFonts w:ascii="Lucida Grande" w:hAnsi="Lucida Grande" w:cs="Lucida Grande"/>
      <w:sz w:val="18"/>
      <w:szCs w:val="18"/>
    </w:rPr>
  </w:style>
  <w:style w:type="character" w:customStyle="1" w:styleId="BalloonTextChar">
    <w:name w:val="Balloon Text Char"/>
    <w:basedOn w:val="DefaultParagraphFont"/>
    <w:link w:val="BalloonText"/>
    <w:rsid w:val="00113F2F"/>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customStyle="1" w:styleId="Body1">
    <w:name w:val="Body 1"/>
    <w:rsid w:val="00113F2F"/>
    <w:rPr>
      <w:rFonts w:ascii="Helvetica" w:eastAsia="Arial Unicode MS" w:hAnsi="Helvetica"/>
      <w:color w:val="000000"/>
      <w:sz w:val="24"/>
    </w:rPr>
  </w:style>
  <w:style w:type="paragraph" w:customStyle="1" w:styleId="Numbered">
    <w:name w:val="Numbered"/>
    <w:rsid w:val="00113F2F"/>
    <w:pPr>
      <w:numPr>
        <w:numId w:val="6"/>
      </w:numPr>
    </w:pPr>
    <w:rPr>
      <w:rFonts w:eastAsia="Times New Roman"/>
    </w:rPr>
  </w:style>
  <w:style w:type="paragraph" w:styleId="BalloonText">
    <w:name w:val="Balloon Text"/>
    <w:basedOn w:val="Normal"/>
    <w:link w:val="BalloonTextChar"/>
    <w:rsid w:val="00113F2F"/>
    <w:rPr>
      <w:rFonts w:ascii="Lucida Grande" w:hAnsi="Lucida Grande" w:cs="Lucida Grande"/>
      <w:sz w:val="18"/>
      <w:szCs w:val="18"/>
    </w:rPr>
  </w:style>
  <w:style w:type="character" w:customStyle="1" w:styleId="BalloonTextChar">
    <w:name w:val="Balloon Text Char"/>
    <w:basedOn w:val="DefaultParagraphFont"/>
    <w:link w:val="BalloonText"/>
    <w:rsid w:val="00113F2F"/>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2</cp:revision>
  <dcterms:created xsi:type="dcterms:W3CDTF">2012-07-09T18:25:00Z</dcterms:created>
  <dcterms:modified xsi:type="dcterms:W3CDTF">2012-07-09T18:25:00Z</dcterms:modified>
</cp:coreProperties>
</file>