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77777777" w:rsidR="00E338F1" w:rsidRDefault="00754AE8">
            <w:pPr>
              <w:rPr>
                <w:b/>
              </w:rPr>
            </w:pPr>
            <w:proofErr w:type="spellStart"/>
            <w:r>
              <w:rPr>
                <w:b/>
              </w:rPr>
              <w:t>Convenor</w:t>
            </w:r>
            <w:proofErr w:type="spellEnd"/>
            <w:r>
              <w:rPr>
                <w:b/>
              </w:rPr>
              <w:t>, Working Group 1; Chairman, Subcommittee 62C</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77777777" w:rsidR="00E338F1" w:rsidRDefault="00BF3488" w:rsidP="00BF3488">
            <w:pPr>
              <w:rPr>
                <w:b/>
              </w:rPr>
            </w:pPr>
            <w:r>
              <w:rPr>
                <w:b/>
              </w:rPr>
              <w:t>Semi-a</w:t>
            </w:r>
            <w:r w:rsidR="00754AE8">
              <w:rPr>
                <w:b/>
              </w:rPr>
              <w:t>nnual meeting of Working Group</w:t>
            </w:r>
            <w:r>
              <w:rPr>
                <w:b/>
              </w:rPr>
              <w:t xml:space="preserve"> 1</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49C58405" w:rsidR="00E338F1" w:rsidRDefault="007C747F" w:rsidP="00BF3488">
            <w:pPr>
              <w:rPr>
                <w:b/>
              </w:rPr>
            </w:pPr>
            <w:r>
              <w:rPr>
                <w:b/>
              </w:rPr>
              <w:t>September 21, 2012</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314935B1" w:rsidR="00E338F1" w:rsidRDefault="007C747F">
            <w:pPr>
              <w:rPr>
                <w:b/>
              </w:rPr>
            </w:pPr>
            <w:r>
              <w:rPr>
                <w:b/>
              </w:rPr>
              <w:t>Houston, TX</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77777777" w:rsidR="00E338F1" w:rsidRDefault="00754AE8">
            <w:pPr>
              <w:rPr>
                <w:b/>
              </w:rPr>
            </w:pPr>
            <w:r>
              <w:rPr>
                <w:b/>
              </w:rPr>
              <w:t>Travel reimbursement</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77777777" w:rsidR="00E338F1" w:rsidRDefault="00754AE8" w:rsidP="00BF3488">
            <w:pPr>
              <w:rPr>
                <w:b/>
              </w:rPr>
            </w:pPr>
            <w:r>
              <w:rPr>
                <w:b/>
              </w:rPr>
              <w:t>Attended to chair</w:t>
            </w:r>
            <w:r w:rsidR="00BF3488">
              <w:rPr>
                <w:b/>
              </w:rPr>
              <w:t xml:space="preserve"> meeting</w:t>
            </w:r>
            <w:r w:rsidR="00051CCA">
              <w:rPr>
                <w:b/>
              </w:rPr>
              <w:t xml:space="preserve"> of</w:t>
            </w:r>
            <w:r>
              <w:rPr>
                <w:b/>
              </w:rPr>
              <w:t xml:space="preserve"> WG 1 and to represent</w:t>
            </w:r>
            <w:r w:rsidR="00051CCA">
              <w:rPr>
                <w:b/>
              </w:rPr>
              <w:t xml:space="preserve"> the</w:t>
            </w:r>
            <w:r>
              <w:rPr>
                <w:b/>
              </w:rPr>
              <w:t xml:space="preserve"> US medical physics community</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18B873AF" w14:textId="77777777" w:rsidR="007C747F" w:rsidRDefault="007C747F" w:rsidP="007C747F">
      <w:pPr>
        <w:pStyle w:val="Body1"/>
        <w:spacing w:after="200"/>
        <w:jc w:val="center"/>
        <w:rPr>
          <w:rFonts w:ascii="Helvetica" w:hAnsi="Helvetica"/>
          <w:b/>
        </w:rPr>
      </w:pPr>
      <w:r>
        <w:rPr>
          <w:rFonts w:ascii="Helvetica" w:hAnsi="Arial Unicode MS"/>
          <w:b/>
        </w:rPr>
        <w:t>Meeting Report</w:t>
      </w:r>
    </w:p>
    <w:p w14:paraId="773ACBA6" w14:textId="77777777" w:rsidR="007C747F" w:rsidRDefault="007C747F" w:rsidP="007C747F">
      <w:pPr>
        <w:pStyle w:val="Body1"/>
        <w:spacing w:after="200"/>
        <w:jc w:val="center"/>
        <w:rPr>
          <w:rFonts w:ascii="Helvetica" w:hAnsi="Helvetica"/>
          <w:b/>
        </w:rPr>
      </w:pPr>
      <w:r>
        <w:rPr>
          <w:rFonts w:ascii="Helvetica" w:hAnsi="Arial Unicode MS"/>
          <w:b/>
        </w:rPr>
        <w:t>US Technical Advisory Group to</w:t>
      </w:r>
    </w:p>
    <w:p w14:paraId="25A39FA9" w14:textId="77777777" w:rsidR="007C747F" w:rsidRDefault="007C747F" w:rsidP="007C747F">
      <w:pPr>
        <w:pStyle w:val="Body1"/>
        <w:spacing w:after="200"/>
        <w:jc w:val="center"/>
        <w:rPr>
          <w:rFonts w:ascii="Helvetica" w:hAnsi="Helvetica"/>
          <w:b/>
        </w:rPr>
      </w:pPr>
      <w:r>
        <w:rPr>
          <w:rFonts w:ascii="Helvetica" w:hAnsi="Arial Unicode MS"/>
          <w:b/>
        </w:rPr>
        <w:t>IEC Subcommittee 62C, Working Group 1</w:t>
      </w:r>
    </w:p>
    <w:p w14:paraId="1130CFB8" w14:textId="77777777" w:rsidR="007C747F" w:rsidRDefault="007C747F" w:rsidP="007C747F">
      <w:pPr>
        <w:pStyle w:val="Body1"/>
        <w:spacing w:after="200"/>
        <w:jc w:val="center"/>
        <w:rPr>
          <w:rFonts w:ascii="Helvetica" w:hAnsi="Helvetica"/>
          <w:b/>
        </w:rPr>
      </w:pPr>
      <w:r>
        <w:rPr>
          <w:rFonts w:ascii="Helvetica" w:hAnsi="Arial Unicode MS"/>
          <w:b/>
        </w:rPr>
        <w:t>Houston, TX</w:t>
      </w:r>
    </w:p>
    <w:p w14:paraId="189D7799" w14:textId="77777777" w:rsidR="007C747F" w:rsidRDefault="007C747F" w:rsidP="007C747F">
      <w:pPr>
        <w:pStyle w:val="Body1"/>
        <w:spacing w:after="200"/>
        <w:jc w:val="center"/>
        <w:rPr>
          <w:rFonts w:ascii="Helvetica" w:hAnsi="Helvetica"/>
          <w:b/>
        </w:rPr>
      </w:pPr>
      <w:r>
        <w:rPr>
          <w:rFonts w:ascii="Helvetica" w:hAnsi="Arial Unicode MS"/>
          <w:b/>
        </w:rPr>
        <w:t>September 21, 2012</w:t>
      </w:r>
    </w:p>
    <w:p w14:paraId="6C01F36F" w14:textId="77777777" w:rsidR="007C747F" w:rsidRDefault="007C747F" w:rsidP="007C747F">
      <w:pPr>
        <w:pStyle w:val="Body1"/>
        <w:rPr>
          <w:rFonts w:ascii="Helvetica" w:hAnsi="Helvetica"/>
          <w:b/>
        </w:rPr>
      </w:pPr>
    </w:p>
    <w:p w14:paraId="21E4D4C6" w14:textId="77777777" w:rsidR="007C747F" w:rsidRDefault="007C747F" w:rsidP="007C747F">
      <w:pPr>
        <w:pStyle w:val="Body1"/>
        <w:rPr>
          <w:rFonts w:hAnsi="Arial Unicode MS"/>
          <w:b/>
        </w:rPr>
      </w:pPr>
      <w:r>
        <w:rPr>
          <w:rFonts w:hAnsi="Arial Unicode MS"/>
          <w:b/>
        </w:rPr>
        <w:t>Introduction</w:t>
      </w:r>
    </w:p>
    <w:p w14:paraId="62C375B0" w14:textId="77777777" w:rsidR="007C747F" w:rsidRDefault="007C747F" w:rsidP="007C747F">
      <w:pPr>
        <w:pStyle w:val="Body1"/>
        <w:rPr>
          <w:b/>
        </w:rPr>
      </w:pPr>
    </w:p>
    <w:p w14:paraId="7F86BEE5" w14:textId="77777777" w:rsidR="007C747F" w:rsidRDefault="007C747F" w:rsidP="007C747F">
      <w:pPr>
        <w:pStyle w:val="Body1"/>
        <w:spacing w:after="120"/>
      </w:pPr>
      <w:r>
        <w:rPr>
          <w:rFonts w:hAnsi="Arial Unicode MS"/>
        </w:rPr>
        <w:t>The AAPM participates in the development of international standards and technical reports for the safety and performance of electrical equipment</w:t>
      </w:r>
      <w:proofErr w:type="gramStart"/>
      <w:r>
        <w:rPr>
          <w:rFonts w:hAnsi="Arial Unicode MS"/>
        </w:rPr>
        <w:t>;</w:t>
      </w:r>
      <w:proofErr w:type="gramEnd"/>
      <w:r>
        <w:rPr>
          <w:rFonts w:hAnsi="Arial Unicode MS"/>
        </w:rPr>
        <w:t xml:space="preserve"> specifically, equipment related to the delivery of radiation therapy.  This is accomplished though a group called </w:t>
      </w:r>
      <w:r>
        <w:rPr>
          <w:rFonts w:hAnsi="Arial Unicode MS"/>
        </w:rPr>
        <w:lastRenderedPageBreak/>
        <w:t xml:space="preserve">the U.S. Technical Advisory Group (U.S. TAG) consisting of representatives from ASTRO, ACR and AAPM as well as those in industry.  This group advises the U.S. National Committee (USNC) of the International </w:t>
      </w:r>
      <w:proofErr w:type="spellStart"/>
      <w:r>
        <w:rPr>
          <w:rFonts w:hAnsi="Arial Unicode MS"/>
        </w:rPr>
        <w:t>Electrotechnical</w:t>
      </w:r>
      <w:proofErr w:type="spellEnd"/>
      <w:r>
        <w:rPr>
          <w:rFonts w:hAnsi="Arial Unicode MS"/>
        </w:rPr>
        <w:t xml:space="preserve"> Commission (IEC), a Committee of the American National Standards Institute. Since 1993, Geoffrey Ibbott, </w:t>
      </w:r>
      <w:proofErr w:type="spellStart"/>
      <w:r>
        <w:rPr>
          <w:rFonts w:hAnsi="Arial Unicode MS"/>
        </w:rPr>
        <w:t>Ph.D</w:t>
      </w:r>
      <w:proofErr w:type="spellEnd"/>
      <w:r>
        <w:rPr>
          <w:rFonts w:hAnsi="Arial Unicode MS"/>
        </w:rPr>
        <w:t xml:space="preserve"> has been USNC Technical Advisor, chair of the U.S. TAG, and a liaison between the U.S. TAG and the USNC.  Since 2006, he has been chair of IEC subcommittee 62C.  In 2011, Dr. Ibbott was elected </w:t>
      </w:r>
      <w:proofErr w:type="spellStart"/>
      <w:r>
        <w:rPr>
          <w:rFonts w:hAnsi="Arial Unicode MS"/>
        </w:rPr>
        <w:t>Convenor</w:t>
      </w:r>
      <w:proofErr w:type="spellEnd"/>
      <w:r>
        <w:rPr>
          <w:rFonts w:hAnsi="Arial Unicode MS"/>
        </w:rPr>
        <w:t xml:space="preserve"> of Working Group 1.</w:t>
      </w:r>
    </w:p>
    <w:p w14:paraId="6F564ED9" w14:textId="77777777" w:rsidR="007C747F" w:rsidRDefault="007C747F" w:rsidP="007C747F">
      <w:pPr>
        <w:pStyle w:val="Body1"/>
        <w:spacing w:after="120"/>
      </w:pPr>
      <w:r>
        <w:rPr>
          <w:rFonts w:hAnsi="Arial Unicode MS"/>
        </w:rPr>
        <w:t>The IEC develops standards for the design of electrical equipment, and medical electrical equipment specifically is handled by its subcommittee 62C. Working Group 1 of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5D1BDE2E" w14:textId="77777777" w:rsidR="007C747F" w:rsidRDefault="007C747F" w:rsidP="007C747F">
      <w:pPr>
        <w:pStyle w:val="Body1"/>
        <w:spacing w:after="120"/>
        <w:rPr>
          <w:rFonts w:hAnsi="Arial Unicode MS"/>
        </w:rPr>
      </w:pPr>
      <w:r>
        <w:rPr>
          <w:rFonts w:hAnsi="Arial Unicode MS"/>
        </w:rPr>
        <w:t>Dr. Ibbott represents the US radiation oncology community at meetings of IEC Working Group</w:t>
      </w:r>
      <w:r>
        <w:rPr>
          <w:rFonts w:hAnsi="Arial Unicode MS"/>
        </w:rPr>
        <w:t> </w:t>
      </w:r>
      <w:r>
        <w:rPr>
          <w:rFonts w:hAnsi="Arial Unicode MS"/>
        </w:rPr>
        <w:t>1, Subcommittee 62C and Technical Committee 62. The membership of these committees is at least 50% manufacturers</w:t>
      </w:r>
      <w:r>
        <w:rPr>
          <w:rFonts w:hAnsi="Arial Unicode MS"/>
        </w:rPr>
        <w:t>’</w:t>
      </w:r>
      <w:r>
        <w:rPr>
          <w:rFonts w:hAnsi="Arial Unicode MS"/>
        </w:rPr>
        <w:t xml:space="preserve"> representatives, so maintaining a clinical medical physics presence is critical. </w:t>
      </w:r>
    </w:p>
    <w:p w14:paraId="11277496" w14:textId="77777777" w:rsidR="007C747F" w:rsidRPr="001D2FC8" w:rsidRDefault="007C747F" w:rsidP="007C747F">
      <w:pPr>
        <w:pStyle w:val="Body1"/>
        <w:spacing w:after="120"/>
        <w:rPr>
          <w:rFonts w:hAnsi="Arial Unicode MS"/>
          <w:b/>
        </w:rPr>
      </w:pPr>
      <w:r>
        <w:rPr>
          <w:rFonts w:hAnsi="Arial Unicode MS"/>
          <w:b/>
        </w:rPr>
        <w:t>Recent Meeting</w:t>
      </w:r>
    </w:p>
    <w:p w14:paraId="31B06B38" w14:textId="77777777" w:rsidR="007C747F" w:rsidRDefault="007C747F" w:rsidP="007C747F">
      <w:pPr>
        <w:pStyle w:val="Body1"/>
        <w:spacing w:after="120"/>
      </w:pPr>
      <w:r>
        <w:rPr>
          <w:rFonts w:hAnsi="Arial Unicode MS"/>
        </w:rPr>
        <w:t xml:space="preserve">The US TAG met September 21, with five members physically present in Houston.  Other members were invited to join by WebEx or conference call. No record was kept of members who participated remotely although there were no comments or questions raised on the conference call. The members who met in Houston were Michael Moyers, Todd Steinberg, James </w:t>
      </w:r>
      <w:proofErr w:type="spellStart"/>
      <w:r>
        <w:rPr>
          <w:rFonts w:hAnsi="Arial Unicode MS"/>
        </w:rPr>
        <w:t>Marbach</w:t>
      </w:r>
      <w:proofErr w:type="spellEnd"/>
      <w:r>
        <w:rPr>
          <w:rFonts w:hAnsi="Arial Unicode MS"/>
        </w:rPr>
        <w:t>, Matthew West</w:t>
      </w:r>
      <w:r w:rsidRPr="001D2FC8">
        <w:rPr>
          <w:rFonts w:hAnsi="Arial Unicode MS"/>
        </w:rPr>
        <w:t xml:space="preserve"> </w:t>
      </w:r>
      <w:r>
        <w:rPr>
          <w:rFonts w:hAnsi="Arial Unicode MS"/>
        </w:rPr>
        <w:t>and Geoffrey Ibbott.</w:t>
      </w:r>
    </w:p>
    <w:p w14:paraId="580E1D2E" w14:textId="77777777" w:rsidR="007C747F" w:rsidRDefault="007C747F" w:rsidP="007C747F">
      <w:pPr>
        <w:pStyle w:val="Body1"/>
        <w:spacing w:after="120"/>
      </w:pPr>
      <w:r>
        <w:rPr>
          <w:rFonts w:hAnsi="Arial Unicode MS"/>
        </w:rPr>
        <w:t>The purpose of this meeting was to review a compilation of comments submitted by national committees to a draft of IEC 60601-2-64. This draft, published as 62C/111/CD, is the second committee draft of the standard, which is entitled Safety and Essential Performance of Light Ion Beam Accelerators.  Approximately 200 comments were submitted by the US and other nations prior to the comment deadline of September 7. The comments and their resolution will be the major agenda item of an upcoming meeting of Working Group 1.</w:t>
      </w:r>
    </w:p>
    <w:p w14:paraId="308265BF" w14:textId="77777777" w:rsidR="007C747F" w:rsidRDefault="007C747F" w:rsidP="007C747F">
      <w:pPr>
        <w:pStyle w:val="Body1"/>
        <w:spacing w:after="120"/>
      </w:pPr>
      <w:r>
        <w:rPr>
          <w:rFonts w:hAnsi="Arial Unicode MS"/>
        </w:rPr>
        <w:t>The TAG met for approximately 6 hours and completed a review of all technical comments and all of the more significant editorial comments. The TAG prepared responses to all of these comments, and these responses will be presented by the lead US representative to Working Group 1, Dr. Ibbott, at the upcoming meeting.</w:t>
      </w:r>
    </w:p>
    <w:p w14:paraId="158629C7" w14:textId="77777777" w:rsidR="007C747F" w:rsidRPr="001D2FC8" w:rsidRDefault="007C747F" w:rsidP="007C747F">
      <w:pPr>
        <w:pStyle w:val="Body1"/>
        <w:spacing w:after="120"/>
        <w:rPr>
          <w:rFonts w:hAnsi="Arial Unicode MS"/>
        </w:rPr>
      </w:pPr>
    </w:p>
    <w:p w14:paraId="56FD8584" w14:textId="77777777" w:rsidR="007C747F" w:rsidRPr="001D2FC8" w:rsidRDefault="007C747F" w:rsidP="007C747F">
      <w:pPr>
        <w:pStyle w:val="Body1"/>
        <w:spacing w:after="120"/>
        <w:rPr>
          <w:rFonts w:hAnsi="Arial Unicode MS"/>
        </w:rPr>
      </w:pPr>
      <w:r w:rsidRPr="001D2FC8">
        <w:rPr>
          <w:rFonts w:hAnsi="Arial Unicode MS"/>
        </w:rPr>
        <w:t>Respectfully submitted,</w:t>
      </w:r>
    </w:p>
    <w:p w14:paraId="56F80B11" w14:textId="4D08E01D" w:rsidR="007C747F" w:rsidRPr="001D2FC8" w:rsidRDefault="007C747F" w:rsidP="007C747F">
      <w:pPr>
        <w:pStyle w:val="Body1"/>
        <w:spacing w:after="120"/>
        <w:rPr>
          <w:rFonts w:hAnsi="Arial Unicode MS"/>
        </w:rPr>
      </w:pPr>
      <w:r>
        <w:rPr>
          <w:rFonts w:hAnsi="Arial Unicode MS"/>
          <w:noProof/>
        </w:rPr>
        <w:drawing>
          <wp:inline distT="0" distB="0" distL="0" distR="0" wp14:anchorId="1176E193" wp14:editId="299B7CA0">
            <wp:extent cx="1003300" cy="431800"/>
            <wp:effectExtent l="0" t="0" r="12700" b="0"/>
            <wp:docPr id="2" name="Picture 1" descr="GeoffIbbot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ffIbbot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p>
    <w:p w14:paraId="04CD7D85" w14:textId="77777777" w:rsidR="007C747F" w:rsidRPr="001D2FC8" w:rsidRDefault="007C747F" w:rsidP="007C747F">
      <w:pPr>
        <w:pStyle w:val="Body1"/>
        <w:spacing w:after="120"/>
        <w:rPr>
          <w:rFonts w:hAnsi="Arial Unicode MS"/>
        </w:rPr>
      </w:pPr>
      <w:r w:rsidRPr="001D2FC8">
        <w:rPr>
          <w:rFonts w:hAnsi="Arial Unicode MS"/>
        </w:rPr>
        <w:t xml:space="preserve">Geoffrey Ibbott, </w:t>
      </w:r>
      <w:proofErr w:type="spellStart"/>
      <w:r w:rsidRPr="001D2FC8">
        <w:rPr>
          <w:rFonts w:hAnsi="Arial Unicode MS"/>
        </w:rPr>
        <w:t>Convenor</w:t>
      </w:r>
      <w:proofErr w:type="spellEnd"/>
      <w:r w:rsidRPr="001D2FC8">
        <w:rPr>
          <w:rFonts w:hAnsi="Arial Unicode MS"/>
        </w:rPr>
        <w:t>, WG 1 and Chair, US TAG</w:t>
      </w:r>
    </w:p>
    <w:p w14:paraId="63FCCABE" w14:textId="77777777" w:rsidR="003164D9" w:rsidRPr="003164D9" w:rsidRDefault="003164D9">
      <w:pPr>
        <w:rPr>
          <w:b/>
        </w:rPr>
      </w:pPr>
      <w:bookmarkStart w:id="0" w:name="_GoBack"/>
      <w:bookmarkEnd w:id="0"/>
    </w:p>
    <w:sectPr w:rsidR="003164D9" w:rsidRPr="003164D9" w:rsidSect="00BB096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DB6490" w:rsidRDefault="00BF3488">
      <w:r>
        <w:separator/>
      </w:r>
    </w:p>
  </w:endnote>
  <w:endnote w:type="continuationSeparator" w:id="0">
    <w:p w14:paraId="4C0892D4" w14:textId="77777777" w:rsidR="00DB6490" w:rsidRDefault="00BF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0453" w14:textId="77777777" w:rsidR="00B84D0C" w:rsidRDefault="00AF625A">
    <w:pPr>
      <w:pStyle w:val="Footer"/>
    </w:pPr>
    <w:r>
      <w:rPr>
        <w:noProof/>
        <w:lang w:val="en-US" w:eastAsia="en-US"/>
      </w:rPr>
      <mc:AlternateContent>
        <mc:Choice Requires="wps">
          <w:drawing>
            <wp:anchor distT="0" distB="0" distL="114300" distR="114300" simplePos="0" relativeHeight="251660288" behindDoc="0" locked="0" layoutInCell="1" allowOverlap="1" wp14:anchorId="79D010E7" wp14:editId="3E2567E7">
              <wp:simplePos x="0" y="0"/>
              <wp:positionH relativeFrom="page">
                <wp:posOffset>648335</wp:posOffset>
              </wp:positionH>
              <wp:positionV relativeFrom="page">
                <wp:posOffset>10189210</wp:posOffset>
              </wp:positionV>
              <wp:extent cx="2306320" cy="228600"/>
              <wp:effectExtent l="635" t="381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6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7AB" w14:textId="77777777" w:rsidR="00B84D0C" w:rsidRPr="00A41D0D" w:rsidRDefault="00051CC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05pt;margin-top:802.3pt;width:181.6pt;height:18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" filled="f" stroked="f">
              <o:lock v:ext="edit" aspectratio="t"/>
              <v:textbox inset=".5mm,,1mm">
                <w:txbxContent>
                  <w:p w14:paraId="3C0FD7AB" w14:textId="77777777" w:rsidR="00B84D0C" w:rsidRPr="00A41D0D" w:rsidRDefault="00051CC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DB6490" w:rsidRDefault="00BF3488">
      <w:r>
        <w:separator/>
      </w:r>
    </w:p>
  </w:footnote>
  <w:footnote w:type="continuationSeparator" w:id="0">
    <w:p w14:paraId="744379CB" w14:textId="77777777" w:rsidR="00DB6490" w:rsidRDefault="00BF3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D3AF5"/>
    <w:rsid w:val="003164D9"/>
    <w:rsid w:val="00754AE8"/>
    <w:rsid w:val="007C747F"/>
    <w:rsid w:val="00AE24F9"/>
    <w:rsid w:val="00AF625A"/>
    <w:rsid w:val="00B804D1"/>
    <w:rsid w:val="00BB0960"/>
    <w:rsid w:val="00BF3488"/>
    <w:rsid w:val="00DB6490"/>
    <w:rsid w:val="00E338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customStyle="1" w:styleId="Body1">
    <w:name w:val="Body 1"/>
    <w:rsid w:val="007C747F"/>
    <w:pPr>
      <w:outlineLvl w:val="0"/>
    </w:pPr>
    <w:rPr>
      <w:rFonts w:eastAsia="Arial Unicode MS"/>
      <w:color w:val="000000"/>
      <w:sz w:val="24"/>
      <w:u w:color="000000"/>
    </w:rPr>
  </w:style>
  <w:style w:type="paragraph" w:styleId="BalloonText">
    <w:name w:val="Balloon Text"/>
    <w:basedOn w:val="Normal"/>
    <w:link w:val="BalloonTextChar"/>
    <w:rsid w:val="007C747F"/>
    <w:rPr>
      <w:rFonts w:ascii="Lucida Grande" w:hAnsi="Lucida Grande" w:cs="Lucida Grande"/>
      <w:sz w:val="18"/>
      <w:szCs w:val="18"/>
    </w:rPr>
  </w:style>
  <w:style w:type="character" w:customStyle="1" w:styleId="BalloonTextChar">
    <w:name w:val="Balloon Text Char"/>
    <w:basedOn w:val="DefaultParagraphFont"/>
    <w:link w:val="BalloonText"/>
    <w:rsid w:val="007C747F"/>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customStyle="1" w:styleId="Body1">
    <w:name w:val="Body 1"/>
    <w:rsid w:val="007C747F"/>
    <w:pPr>
      <w:outlineLvl w:val="0"/>
    </w:pPr>
    <w:rPr>
      <w:rFonts w:eastAsia="Arial Unicode MS"/>
      <w:color w:val="000000"/>
      <w:sz w:val="24"/>
      <w:u w:color="000000"/>
    </w:rPr>
  </w:style>
  <w:style w:type="paragraph" w:styleId="BalloonText">
    <w:name w:val="Balloon Text"/>
    <w:basedOn w:val="Normal"/>
    <w:link w:val="BalloonTextChar"/>
    <w:rsid w:val="007C747F"/>
    <w:rPr>
      <w:rFonts w:ascii="Lucida Grande" w:hAnsi="Lucida Grande" w:cs="Lucida Grande"/>
      <w:sz w:val="18"/>
      <w:szCs w:val="18"/>
    </w:rPr>
  </w:style>
  <w:style w:type="character" w:customStyle="1" w:styleId="BalloonTextChar">
    <w:name w:val="Balloon Text Char"/>
    <w:basedOn w:val="DefaultParagraphFont"/>
    <w:link w:val="BalloonText"/>
    <w:rsid w:val="007C747F"/>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2</cp:revision>
  <dcterms:created xsi:type="dcterms:W3CDTF">2012-09-28T12:44:00Z</dcterms:created>
  <dcterms:modified xsi:type="dcterms:W3CDTF">2012-09-28T12:44:00Z</dcterms:modified>
</cp:coreProperties>
</file>