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C0B4" w14:textId="1E1358D5" w:rsidR="00CE74A3" w:rsidRPr="00CE74A3" w:rsidRDefault="00CE74A3" w:rsidP="00CE74A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97D"/>
          <w:sz w:val="22"/>
          <w:szCs w:val="22"/>
        </w:rPr>
      </w:pPr>
      <w:bookmarkStart w:id="0" w:name="_GoBack"/>
      <w:bookmarkEnd w:id="0"/>
      <w:r w:rsidRPr="00CE74A3">
        <w:rPr>
          <w:rFonts w:ascii="Calibri" w:hAnsi="Calibri"/>
          <w:b/>
          <w:color w:val="1F497D"/>
          <w:sz w:val="22"/>
          <w:szCs w:val="22"/>
        </w:rPr>
        <w:t>AAPM IMAGING PHYSICS COMMITTEE</w:t>
      </w:r>
    </w:p>
    <w:p w14:paraId="3648B34D" w14:textId="67439E45" w:rsidR="00CE74A3" w:rsidRDefault="00CE74A3" w:rsidP="00CE74A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97D"/>
          <w:sz w:val="22"/>
          <w:szCs w:val="22"/>
        </w:rPr>
      </w:pPr>
      <w:r w:rsidRPr="00CE74A3">
        <w:rPr>
          <w:rFonts w:ascii="Calibri" w:hAnsi="Calibri"/>
          <w:b/>
          <w:color w:val="1F497D"/>
          <w:sz w:val="22"/>
          <w:szCs w:val="22"/>
        </w:rPr>
        <w:t>2015 ANNUAL RETREAT</w:t>
      </w:r>
    </w:p>
    <w:p w14:paraId="281BB46E" w14:textId="2A4CCA37" w:rsidR="00CE74A3" w:rsidRPr="00CE74A3" w:rsidRDefault="00CE74A3" w:rsidP="00CE74A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 xml:space="preserve">8/18/15 </w:t>
      </w:r>
      <w:proofErr w:type="spellStart"/>
      <w:r w:rsidR="00DF1D28" w:rsidRPr="00DF1D28">
        <w:rPr>
          <w:rFonts w:ascii="Calibri" w:hAnsi="Calibri"/>
          <w:b/>
          <w:color w:val="1F497D"/>
          <w:sz w:val="22"/>
          <w:szCs w:val="22"/>
        </w:rPr>
        <w:t>DoubleTree</w:t>
      </w:r>
      <w:proofErr w:type="spellEnd"/>
      <w:r w:rsidR="00DF1D28" w:rsidRPr="00DF1D28">
        <w:rPr>
          <w:rFonts w:ascii="Calibri" w:hAnsi="Calibri"/>
          <w:b/>
          <w:color w:val="1F497D"/>
          <w:sz w:val="22"/>
          <w:szCs w:val="22"/>
        </w:rPr>
        <w:t xml:space="preserve"> Hotel Chicago O'Hare Airport</w:t>
      </w:r>
    </w:p>
    <w:p w14:paraId="73B64862" w14:textId="401C7696" w:rsidR="00CE74A3" w:rsidRDefault="00CE74A3" w:rsidP="00CE74A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97D"/>
          <w:sz w:val="22"/>
          <w:szCs w:val="22"/>
        </w:rPr>
      </w:pPr>
      <w:r w:rsidRPr="00CE74A3">
        <w:rPr>
          <w:rFonts w:ascii="Calibri" w:hAnsi="Calibri"/>
          <w:b/>
          <w:color w:val="1F497D"/>
          <w:sz w:val="22"/>
          <w:szCs w:val="22"/>
        </w:rPr>
        <w:t>AGENDA</w:t>
      </w:r>
    </w:p>
    <w:p w14:paraId="1EFE2406" w14:textId="77777777" w:rsidR="00D65563" w:rsidRPr="00CE74A3" w:rsidRDefault="00D65563" w:rsidP="00CE74A3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</w:p>
    <w:p w14:paraId="3303C9DE" w14:textId="57B6FDBF" w:rsidR="00CE74A3" w:rsidRDefault="00E702C7" w:rsidP="004D77E7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Task Groups</w:t>
      </w:r>
    </w:p>
    <w:p w14:paraId="336423A3" w14:textId="3333A150" w:rsidR="00CE74A3" w:rsidRDefault="00CE74A3" w:rsidP="004D77E7">
      <w:pPr>
        <w:pStyle w:val="xmsolistparagraph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TG formation</w:t>
      </w:r>
    </w:p>
    <w:p w14:paraId="23B803D3" w14:textId="5FB1B93E" w:rsidR="00CE74A3" w:rsidRDefault="00D57C5D" w:rsidP="004D77E7">
      <w:pPr>
        <w:pStyle w:val="xmsolistparagraph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Bottom</w:t>
      </w:r>
      <w:r w:rsidR="00CE74A3">
        <w:rPr>
          <w:rFonts w:ascii="Calibri" w:hAnsi="Calibri"/>
          <w:color w:val="1F497D"/>
          <w:sz w:val="22"/>
          <w:szCs w:val="22"/>
        </w:rPr>
        <w:t xml:space="preserve">-up </w:t>
      </w:r>
      <w:r>
        <w:rPr>
          <w:rFonts w:ascii="Calibri" w:hAnsi="Calibri"/>
          <w:color w:val="1F497D"/>
          <w:sz w:val="22"/>
          <w:szCs w:val="22"/>
        </w:rPr>
        <w:t xml:space="preserve">(grass-roots </w:t>
      </w:r>
      <w:r w:rsidR="00CE74A3">
        <w:rPr>
          <w:rFonts w:ascii="Calibri" w:hAnsi="Calibri"/>
          <w:color w:val="1F497D"/>
          <w:sz w:val="22"/>
          <w:szCs w:val="22"/>
        </w:rPr>
        <w:t>volunte</w:t>
      </w:r>
      <w:r w:rsidR="00D65563">
        <w:rPr>
          <w:rFonts w:ascii="Calibri" w:hAnsi="Calibri"/>
          <w:color w:val="1F497D"/>
          <w:sz w:val="22"/>
          <w:szCs w:val="22"/>
        </w:rPr>
        <w:t>er initiated) vs Top-down (</w:t>
      </w:r>
      <w:r w:rsidR="00CE74A3">
        <w:rPr>
          <w:rFonts w:ascii="Calibri" w:hAnsi="Calibri"/>
          <w:color w:val="1F497D"/>
          <w:sz w:val="22"/>
          <w:szCs w:val="22"/>
        </w:rPr>
        <w:t xml:space="preserve">deliberate assessment of needs </w:t>
      </w:r>
      <w:r w:rsidR="00D65563">
        <w:rPr>
          <w:rFonts w:ascii="Calibri" w:hAnsi="Calibri"/>
          <w:color w:val="1F497D"/>
          <w:sz w:val="22"/>
          <w:szCs w:val="22"/>
        </w:rPr>
        <w:t>in the</w:t>
      </w:r>
      <w:r w:rsidR="00CE74A3">
        <w:rPr>
          <w:rFonts w:ascii="Calibri" w:hAnsi="Calibri"/>
          <w:color w:val="1F497D"/>
          <w:sz w:val="22"/>
          <w:szCs w:val="22"/>
        </w:rPr>
        <w:t xml:space="preserve"> creation/selection of TGs)</w:t>
      </w:r>
    </w:p>
    <w:p w14:paraId="657786CC" w14:textId="3BE0A7FE" w:rsidR="00CE74A3" w:rsidRDefault="00CE74A3" w:rsidP="004D77E7">
      <w:pPr>
        <w:pStyle w:val="xmsolistparagraph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Coordination of TG work</w:t>
      </w:r>
    </w:p>
    <w:p w14:paraId="357B3573" w14:textId="0E372615" w:rsidR="00CE74A3" w:rsidRPr="0085621E" w:rsidRDefault="00EA545C" w:rsidP="004D77E7">
      <w:pPr>
        <w:pStyle w:val="xmsolistparagraph"/>
        <w:numPr>
          <w:ilvl w:val="3"/>
          <w:numId w:val="8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CB</w:t>
      </w:r>
      <w:r w:rsidR="00CE74A3">
        <w:rPr>
          <w:rFonts w:ascii="Calibri" w:hAnsi="Calibri"/>
          <w:color w:val="1F497D"/>
          <w:sz w:val="22"/>
          <w:szCs w:val="22"/>
        </w:rPr>
        <w:t xml:space="preserve">CT </w:t>
      </w:r>
      <w:r>
        <w:rPr>
          <w:rFonts w:ascii="Calibri" w:hAnsi="Calibri"/>
          <w:color w:val="1F497D"/>
          <w:sz w:val="22"/>
          <w:szCs w:val="22"/>
        </w:rPr>
        <w:t>scattered across</w:t>
      </w:r>
      <w:r w:rsidR="00CE74A3">
        <w:rPr>
          <w:rFonts w:ascii="Calibri" w:hAnsi="Calibri"/>
          <w:color w:val="1F497D"/>
          <w:sz w:val="22"/>
          <w:szCs w:val="22"/>
        </w:rPr>
        <w:t xml:space="preserve"> multiple </w:t>
      </w:r>
      <w:r>
        <w:rPr>
          <w:rFonts w:ascii="Calibri" w:hAnsi="Calibri"/>
          <w:color w:val="1F497D"/>
          <w:sz w:val="22"/>
          <w:szCs w:val="22"/>
        </w:rPr>
        <w:t>committees</w:t>
      </w:r>
      <w:r w:rsidR="00CE74A3">
        <w:rPr>
          <w:rFonts w:ascii="Calibri" w:hAnsi="Calibri"/>
          <w:color w:val="1F497D"/>
          <w:sz w:val="22"/>
          <w:szCs w:val="22"/>
        </w:rPr>
        <w:t>, with no</w:t>
      </w:r>
      <w:r>
        <w:rPr>
          <w:rFonts w:ascii="Calibri" w:hAnsi="Calibri"/>
          <w:color w:val="1F497D"/>
          <w:sz w:val="22"/>
          <w:szCs w:val="22"/>
        </w:rPr>
        <w:t xml:space="preserve"> integration</w:t>
      </w:r>
    </w:p>
    <w:p w14:paraId="5AC54258" w14:textId="368E7932" w:rsidR="0085621E" w:rsidRDefault="0085621E" w:rsidP="004D77E7">
      <w:pPr>
        <w:pStyle w:val="xmsolistparagraph"/>
        <w:numPr>
          <w:ilvl w:val="3"/>
          <w:numId w:val="8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Perception of IPC bureaucracy that has led some TGs to flee</w:t>
      </w:r>
    </w:p>
    <w:p w14:paraId="52BE417C" w14:textId="03844501" w:rsidR="00CE74A3" w:rsidRDefault="00CE74A3" w:rsidP="004D77E7">
      <w:pPr>
        <w:pStyle w:val="xmsolistparagraph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TG approval</w:t>
      </w:r>
    </w:p>
    <w:p w14:paraId="67E3218A" w14:textId="277B0352" w:rsidR="00CE74A3" w:rsidRDefault="00CE74A3" w:rsidP="004D77E7">
      <w:pPr>
        <w:pStyle w:val="xmsolistparagraph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Sho</w:t>
      </w:r>
      <w:r w:rsidR="004D77E7">
        <w:rPr>
          <w:rFonts w:ascii="Calibri" w:hAnsi="Calibri"/>
          <w:color w:val="1F497D"/>
          <w:sz w:val="22"/>
          <w:szCs w:val="22"/>
        </w:rPr>
        <w:t>uld we be more like a business </w:t>
      </w:r>
      <w:r>
        <w:rPr>
          <w:rFonts w:ascii="Calibri" w:hAnsi="Calibri"/>
          <w:color w:val="1F497D"/>
          <w:sz w:val="22"/>
          <w:szCs w:val="22"/>
        </w:rPr>
        <w:t xml:space="preserve">and establish clear requirements, expectations, milestones, progress reports, deadlines, </w:t>
      </w:r>
      <w:proofErr w:type="spellStart"/>
      <w:r>
        <w:rPr>
          <w:rFonts w:ascii="Calibri" w:hAnsi="Calibri"/>
          <w:color w:val="1F497D"/>
          <w:sz w:val="22"/>
          <w:szCs w:val="22"/>
        </w:rPr>
        <w:t>etc</w:t>
      </w:r>
      <w:proofErr w:type="spellEnd"/>
      <w:r>
        <w:rPr>
          <w:rFonts w:ascii="Calibri" w:hAnsi="Calibri"/>
          <w:color w:val="1F497D"/>
          <w:sz w:val="22"/>
          <w:szCs w:val="22"/>
        </w:rPr>
        <w:t>?</w:t>
      </w:r>
    </w:p>
    <w:p w14:paraId="0F8A8FC4" w14:textId="3AE1D6E6" w:rsidR="00CE74A3" w:rsidRDefault="00CE74A3" w:rsidP="004D77E7">
      <w:pPr>
        <w:pStyle w:val="xmsolistparagraph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TG project management</w:t>
      </w:r>
    </w:p>
    <w:p w14:paraId="51BA0381" w14:textId="04FE1817" w:rsidR="00CE74A3" w:rsidRDefault="00CE74A3" w:rsidP="004D77E7">
      <w:pPr>
        <w:pStyle w:val="xmsolistparagraph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Presentation</w:t>
      </w:r>
      <w:r>
        <w:rPr>
          <w:rStyle w:val="apple-converted-space"/>
          <w:rFonts w:ascii="Calibri" w:hAnsi="Calibri"/>
          <w:color w:val="1F497D"/>
          <w:sz w:val="22"/>
          <w:szCs w:val="22"/>
        </w:rPr>
        <w:t> </w:t>
      </w:r>
      <w:r>
        <w:rPr>
          <w:rFonts w:ascii="Calibri" w:hAnsi="Calibri"/>
          <w:color w:val="1F497D"/>
          <w:sz w:val="22"/>
          <w:szCs w:val="22"/>
        </w:rPr>
        <w:t>of new HQ support from Nancy V providing tools and resources to assist TGs in being productive</w:t>
      </w:r>
    </w:p>
    <w:p w14:paraId="51337DBF" w14:textId="2ABB38D8" w:rsidR="004D77E7" w:rsidRPr="004D77E7" w:rsidRDefault="004D77E7" w:rsidP="004D77E7">
      <w:pPr>
        <w:pStyle w:val="xmsolistparagraph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1F497D"/>
          <w:sz w:val="22"/>
          <w:szCs w:val="22"/>
        </w:rPr>
      </w:pPr>
      <w:r w:rsidRPr="004D77E7">
        <w:rPr>
          <w:rFonts w:asciiTheme="minorHAnsi" w:hAnsiTheme="minorHAnsi"/>
          <w:color w:val="1F497D"/>
          <w:sz w:val="22"/>
          <w:szCs w:val="22"/>
        </w:rPr>
        <w:t>Consider TPC process:</w:t>
      </w:r>
    </w:p>
    <w:p w14:paraId="37D54451" w14:textId="77777777" w:rsidR="004D77E7" w:rsidRPr="004D77E7" w:rsidRDefault="004D77E7" w:rsidP="004D77E7">
      <w:pPr>
        <w:pStyle w:val="Normal1"/>
        <w:ind w:left="1080"/>
        <w:contextualSpacing/>
        <w:rPr>
          <w:i/>
          <w:sz w:val="20"/>
        </w:rPr>
      </w:pPr>
      <w:proofErr w:type="gramStart"/>
      <w:r w:rsidRPr="004D77E7">
        <w:rPr>
          <w:i/>
          <w:sz w:val="20"/>
        </w:rPr>
        <w:t>Task group/report deadlines- tightening rules when extension will be granted.</w:t>
      </w:r>
      <w:proofErr w:type="gramEnd"/>
      <w:r w:rsidRPr="004D77E7">
        <w:rPr>
          <w:i/>
          <w:sz w:val="20"/>
        </w:rPr>
        <w:t xml:space="preserve">  In TPC, only one year extension will be made on the original timeline that was approved.  TG will be terminated if they do not create a substantive, high-quality report by the end of the extra one year extension.</w:t>
      </w:r>
    </w:p>
    <w:p w14:paraId="0BAAB9BC" w14:textId="77777777" w:rsidR="004D77E7" w:rsidRPr="004D77E7" w:rsidRDefault="004D77E7" w:rsidP="004D77E7">
      <w:pPr>
        <w:pStyle w:val="Normal1"/>
        <w:ind w:left="1080"/>
        <w:contextualSpacing/>
        <w:rPr>
          <w:i/>
          <w:sz w:val="20"/>
        </w:rPr>
      </w:pPr>
      <w:r w:rsidRPr="004D77E7">
        <w:rPr>
          <w:i/>
          <w:sz w:val="20"/>
        </w:rPr>
        <w:t>There is distinct need for TG Reports to move along more quickly. In some cases, reports are forthcoming only after their content is outdated.</w:t>
      </w:r>
    </w:p>
    <w:p w14:paraId="2FA420C3" w14:textId="77777777" w:rsidR="004D77E7" w:rsidRPr="004D77E7" w:rsidRDefault="004D77E7" w:rsidP="004D77E7">
      <w:pPr>
        <w:pStyle w:val="Normal1"/>
        <w:ind w:left="1080"/>
        <w:contextualSpacing/>
        <w:rPr>
          <w:i/>
          <w:sz w:val="20"/>
        </w:rPr>
      </w:pPr>
      <w:r w:rsidRPr="004D77E7">
        <w:rPr>
          <w:i/>
          <w:sz w:val="20"/>
        </w:rPr>
        <w:t xml:space="preserve">Is one year enough?  Is the charge still relevant to AAPM? </w:t>
      </w:r>
    </w:p>
    <w:p w14:paraId="4689ACE9" w14:textId="23B0CD8B" w:rsidR="004D77E7" w:rsidRPr="004D77E7" w:rsidRDefault="004D77E7" w:rsidP="004D77E7">
      <w:pPr>
        <w:pStyle w:val="Normal1"/>
        <w:ind w:left="1080"/>
        <w:contextualSpacing/>
        <w:rPr>
          <w:i/>
          <w:sz w:val="20"/>
        </w:rPr>
      </w:pPr>
      <w:proofErr w:type="gramStart"/>
      <w:r w:rsidRPr="004D77E7">
        <w:rPr>
          <w:i/>
          <w:sz w:val="20"/>
        </w:rPr>
        <w:t>if</w:t>
      </w:r>
      <w:proofErr w:type="gramEnd"/>
      <w:r w:rsidRPr="004D77E7">
        <w:rPr>
          <w:i/>
          <w:sz w:val="20"/>
        </w:rPr>
        <w:t xml:space="preserve"> a TG goes outside its originally approved charge, the TG Chair must get TPC approval first</w:t>
      </w:r>
      <w:r>
        <w:rPr>
          <w:i/>
          <w:sz w:val="20"/>
        </w:rPr>
        <w:t>.</w:t>
      </w:r>
    </w:p>
    <w:p w14:paraId="7C24F82F" w14:textId="77777777" w:rsidR="004D77E7" w:rsidRPr="004D77E7" w:rsidRDefault="004D77E7" w:rsidP="004D77E7">
      <w:pPr>
        <w:pStyle w:val="xmsolistparagraph"/>
        <w:shd w:val="clear" w:color="auto" w:fill="FFFFFF"/>
        <w:spacing w:before="0" w:beforeAutospacing="0" w:after="0" w:afterAutospacing="0"/>
        <w:ind w:left="1800"/>
        <w:rPr>
          <w:rFonts w:asciiTheme="majorHAnsi" w:hAnsiTheme="majorHAnsi"/>
          <w:color w:val="212121"/>
        </w:rPr>
      </w:pPr>
    </w:p>
    <w:p w14:paraId="682559A2" w14:textId="22EED85D" w:rsidR="00CE74A3" w:rsidRDefault="00CE74A3" w:rsidP="004D77E7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Report writing</w:t>
      </w:r>
    </w:p>
    <w:p w14:paraId="7BEC79A9" w14:textId="3FEF2F7E" w:rsidR="00CE74A3" w:rsidRDefault="00CE74A3" w:rsidP="004D77E7">
      <w:pPr>
        <w:pStyle w:val="xmsolistparagraph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Presentation</w:t>
      </w:r>
      <w:r>
        <w:rPr>
          <w:rStyle w:val="apple-converted-space"/>
          <w:rFonts w:ascii="Calibri" w:hAnsi="Calibri"/>
          <w:color w:val="1F497D"/>
          <w:sz w:val="22"/>
          <w:szCs w:val="22"/>
        </w:rPr>
        <w:t> </w:t>
      </w:r>
      <w:r>
        <w:rPr>
          <w:rFonts w:ascii="Calibri" w:hAnsi="Calibri"/>
          <w:color w:val="1F497D"/>
          <w:sz w:val="22"/>
          <w:szCs w:val="22"/>
        </w:rPr>
        <w:t>of new AAPM options for technical writing resources</w:t>
      </w:r>
    </w:p>
    <w:p w14:paraId="3A04321E" w14:textId="55FDC818" w:rsidR="00CE74A3" w:rsidRDefault="00CE74A3" w:rsidP="004D77E7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Report approval</w:t>
      </w:r>
    </w:p>
    <w:p w14:paraId="4E038E20" w14:textId="27632C49" w:rsidR="00CE74A3" w:rsidRDefault="00CE74A3" w:rsidP="004D77E7">
      <w:pPr>
        <w:pStyle w:val="xmsolistparagraph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 xml:space="preserve">Review the TPC process and </w:t>
      </w:r>
      <w:r w:rsidR="004D77E7">
        <w:rPr>
          <w:rFonts w:ascii="Calibri" w:hAnsi="Calibri"/>
          <w:color w:val="1F497D"/>
          <w:sz w:val="22"/>
          <w:szCs w:val="22"/>
        </w:rPr>
        <w:t>consider</w:t>
      </w:r>
      <w:r>
        <w:rPr>
          <w:rFonts w:ascii="Calibri" w:hAnsi="Calibri"/>
          <w:color w:val="1F497D"/>
          <w:sz w:val="22"/>
          <w:szCs w:val="22"/>
        </w:rPr>
        <w:t xml:space="preserve"> a similar process in IPC</w:t>
      </w:r>
    </w:p>
    <w:p w14:paraId="79704AAC" w14:textId="79DAB2A7" w:rsidR="00CE74A3" w:rsidRDefault="00CE74A3" w:rsidP="004D77E7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Publication/distribution: </w:t>
      </w:r>
    </w:p>
    <w:p w14:paraId="63ED9BA6" w14:textId="5604AB06" w:rsidR="00CE74A3" w:rsidRDefault="00CE74A3" w:rsidP="004D77E7">
      <w:pPr>
        <w:pStyle w:val="xmsolistparagraph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MPP &amp; AAPM website vs Journal;</w:t>
      </w:r>
      <w:proofErr w:type="gramStart"/>
      <w:r>
        <w:rPr>
          <w:rFonts w:ascii="Calibri" w:hAnsi="Calibri"/>
          <w:color w:val="1F497D"/>
          <w:sz w:val="22"/>
          <w:szCs w:val="22"/>
        </w:rPr>
        <w:t>  Should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TG reports be published in a peer-reviewed journal?</w:t>
      </w:r>
    </w:p>
    <w:p w14:paraId="2D791030" w14:textId="0C21F6D9" w:rsidR="00CE74A3" w:rsidRDefault="00CE74A3" w:rsidP="004D77E7">
      <w:pPr>
        <w:pStyle w:val="xmsolistparagraph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How to improve the process</w:t>
      </w:r>
    </w:p>
    <w:p w14:paraId="186ED5F6" w14:textId="7C376AFA" w:rsidR="00CE74A3" w:rsidRDefault="004D77E7" w:rsidP="004D77E7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TG sunset provision</w:t>
      </w:r>
    </w:p>
    <w:p w14:paraId="6F12EDA5" w14:textId="5D694F44" w:rsidR="00CE74A3" w:rsidRDefault="00CE74A3" w:rsidP="004D77E7">
      <w:pPr>
        <w:pStyle w:val="xmsolistparagraph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Should TGs </w:t>
      </w:r>
      <w:r w:rsidR="00D65563">
        <w:rPr>
          <w:rFonts w:ascii="Calibri" w:hAnsi="Calibri"/>
          <w:color w:val="1F497D"/>
          <w:sz w:val="22"/>
          <w:szCs w:val="22"/>
        </w:rPr>
        <w:t>go “inactive”</w:t>
      </w:r>
      <w:r>
        <w:rPr>
          <w:rFonts w:ascii="Calibri" w:hAnsi="Calibri"/>
          <w:color w:val="1F497D"/>
          <w:sz w:val="22"/>
          <w:szCs w:val="22"/>
        </w:rPr>
        <w:t xml:space="preserve">, or be required to </w:t>
      </w:r>
      <w:r w:rsidR="004D77E7">
        <w:rPr>
          <w:rFonts w:ascii="Calibri" w:hAnsi="Calibri"/>
          <w:color w:val="1F497D"/>
          <w:sz w:val="22"/>
          <w:szCs w:val="22"/>
        </w:rPr>
        <w:t>update reports on an ongoing basis</w:t>
      </w:r>
      <w:r>
        <w:rPr>
          <w:rFonts w:ascii="Calibri" w:hAnsi="Calibri"/>
          <w:color w:val="1F497D"/>
          <w:sz w:val="22"/>
          <w:szCs w:val="22"/>
        </w:rPr>
        <w:t>?</w:t>
      </w:r>
    </w:p>
    <w:p w14:paraId="20518D3D" w14:textId="191E769F" w:rsidR="001C28CB" w:rsidRPr="006062DA" w:rsidRDefault="001C28CB" w:rsidP="00E702C7">
      <w:pPr>
        <w:pStyle w:val="xmsolistparagraph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Adhoc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Committee on AAPM Reports Integration is launching a process to “retire” outdated reports, and to group parent/child reports</w:t>
      </w:r>
      <w:r w:rsidR="00E702C7">
        <w:rPr>
          <w:rFonts w:ascii="Calibri" w:hAnsi="Calibri"/>
          <w:color w:val="1F497D"/>
          <w:sz w:val="22"/>
          <w:szCs w:val="22"/>
        </w:rPr>
        <w:t xml:space="preserve"> together</w:t>
      </w:r>
    </w:p>
    <w:p w14:paraId="3AF5B7A9" w14:textId="77777777" w:rsidR="006062DA" w:rsidRPr="001C28CB" w:rsidRDefault="006062DA" w:rsidP="006062DA">
      <w:pPr>
        <w:pStyle w:val="xmsolistparagraph"/>
        <w:shd w:val="clear" w:color="auto" w:fill="FFFFFF"/>
        <w:spacing w:before="0" w:beforeAutospacing="0" w:after="0" w:afterAutospacing="0"/>
        <w:ind w:left="360"/>
        <w:rPr>
          <w:color w:val="212121"/>
        </w:rPr>
      </w:pPr>
    </w:p>
    <w:p w14:paraId="4433C462" w14:textId="3FA1EC1F" w:rsidR="00CE74A3" w:rsidRDefault="00CE74A3" w:rsidP="006062DA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Link between IPC and TPC for radiation oncology imaging needs</w:t>
      </w:r>
    </w:p>
    <w:p w14:paraId="1101BD98" w14:textId="41EC34E2" w:rsidR="00CE74A3" w:rsidRDefault="00CE74A3" w:rsidP="006062DA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TPC requesting a liaison between IPC and TPC.  Is this sufficient or is more support needed to ensure imaging components of AAPM reports and recommendations include the appropriate AAPM imaging knowledge base.</w:t>
      </w:r>
    </w:p>
    <w:p w14:paraId="7DF1D736" w14:textId="09E0CCD6" w:rsidR="00CE74A3" w:rsidRDefault="0080217F" w:rsidP="006062DA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 xml:space="preserve"> </w:t>
      </w:r>
      <w:r w:rsidR="00391215">
        <w:rPr>
          <w:rFonts w:ascii="Calibri" w:hAnsi="Calibri"/>
          <w:color w:val="1F497D"/>
          <w:sz w:val="22"/>
          <w:szCs w:val="22"/>
        </w:rPr>
        <w:t>“Million Dollar” question</w:t>
      </w:r>
    </w:p>
    <w:p w14:paraId="41DA1DB1" w14:textId="5C3B4919" w:rsidR="00CE74A3" w:rsidRDefault="006062DA" w:rsidP="006062DA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P</w:t>
      </w:r>
      <w:r w:rsidR="00CE74A3">
        <w:rPr>
          <w:rFonts w:ascii="Calibri" w:hAnsi="Calibri"/>
          <w:color w:val="1F497D"/>
          <w:sz w:val="22"/>
          <w:szCs w:val="22"/>
        </w:rPr>
        <w:t>roposal to encourage more non-medical physicists to become involved in AAPM</w:t>
      </w:r>
    </w:p>
    <w:p w14:paraId="67B1D881" w14:textId="2CFA12D8" w:rsidR="00CE74A3" w:rsidRDefault="00CE74A3" w:rsidP="006062DA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lastRenderedPageBreak/>
        <w:t>Get more engineers, biologist, medical informatics, etc. to become members and become involved in ongoing work of AAPM</w:t>
      </w:r>
    </w:p>
    <w:p w14:paraId="2CCBB876" w14:textId="79590E64" w:rsidR="00CE74A3" w:rsidRDefault="006062DA" w:rsidP="006062DA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P</w:t>
      </w:r>
      <w:r w:rsidR="00CE74A3">
        <w:rPr>
          <w:rFonts w:ascii="Calibri" w:hAnsi="Calibri"/>
          <w:color w:val="1F497D"/>
          <w:sz w:val="22"/>
          <w:szCs w:val="22"/>
        </w:rPr>
        <w:t xml:space="preserve">roposal to change of AAPM name to be </w:t>
      </w:r>
      <w:r w:rsidR="0080217F">
        <w:rPr>
          <w:rFonts w:ascii="Calibri" w:hAnsi="Calibri"/>
          <w:color w:val="1F497D"/>
          <w:sz w:val="22"/>
          <w:szCs w:val="22"/>
        </w:rPr>
        <w:t>more inclusive</w:t>
      </w:r>
      <w:r w:rsidR="00CE74A3">
        <w:rPr>
          <w:rFonts w:ascii="Calibri" w:hAnsi="Calibri"/>
          <w:color w:val="1F497D"/>
          <w:sz w:val="22"/>
          <w:szCs w:val="22"/>
        </w:rPr>
        <w:t>, e.g. American Association</w:t>
      </w:r>
      <w:r w:rsidR="00CE74A3">
        <w:rPr>
          <w:rStyle w:val="apple-converted-space"/>
          <w:rFonts w:ascii="Calibri" w:hAnsi="Calibri"/>
          <w:color w:val="1F497D"/>
          <w:sz w:val="22"/>
          <w:szCs w:val="22"/>
        </w:rPr>
        <w:t> </w:t>
      </w:r>
      <w:r w:rsidR="00CE74A3">
        <w:rPr>
          <w:rFonts w:ascii="Calibri" w:hAnsi="Calibri"/>
          <w:b/>
          <w:bCs/>
          <w:i/>
          <w:iCs/>
          <w:color w:val="1F497D"/>
          <w:sz w:val="22"/>
          <w:szCs w:val="22"/>
          <w:u w:val="single"/>
        </w:rPr>
        <w:t>for</w:t>
      </w:r>
      <w:r w:rsidR="00CE74A3">
        <w:rPr>
          <w:rStyle w:val="apple-converted-space"/>
          <w:rFonts w:ascii="Calibri" w:hAnsi="Calibri"/>
          <w:color w:val="1F497D"/>
          <w:sz w:val="22"/>
          <w:szCs w:val="22"/>
        </w:rPr>
        <w:t> </w:t>
      </w:r>
      <w:r w:rsidR="00CE74A3">
        <w:rPr>
          <w:rFonts w:ascii="Calibri" w:hAnsi="Calibri"/>
          <w:color w:val="1F497D"/>
          <w:sz w:val="22"/>
          <w:szCs w:val="22"/>
        </w:rPr>
        <w:t>Physics in Medicine</w:t>
      </w:r>
    </w:p>
    <w:p w14:paraId="1E705A6A" w14:textId="2221DEAB" w:rsidR="00CE74A3" w:rsidRDefault="006062DA" w:rsidP="006062DA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Increasing</w:t>
      </w:r>
      <w:r w:rsidR="00CE74A3">
        <w:rPr>
          <w:rFonts w:ascii="Calibri" w:hAnsi="Calibri"/>
          <w:color w:val="1F497D"/>
          <w:sz w:val="22"/>
          <w:szCs w:val="22"/>
        </w:rPr>
        <w:t xml:space="preserve"> inter-society interaction</w:t>
      </w:r>
    </w:p>
    <w:p w14:paraId="57495C4A" w14:textId="01655E8F" w:rsidR="00CE74A3" w:rsidRDefault="00CE74A3" w:rsidP="006062DA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EFOMP</w:t>
      </w:r>
    </w:p>
    <w:p w14:paraId="34665D2C" w14:textId="28E954EA" w:rsidR="00CE74A3" w:rsidRDefault="00CE74A3" w:rsidP="006062DA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ESTRO</w:t>
      </w:r>
    </w:p>
    <w:p w14:paraId="5611361A" w14:textId="1A6B5AFF" w:rsidR="00CE74A3" w:rsidRDefault="00CE74A3" w:rsidP="006062DA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Radiation Safety Subcommittee</w:t>
      </w:r>
    </w:p>
    <w:p w14:paraId="6D556A78" w14:textId="238E9A47" w:rsidR="00CE74A3" w:rsidRDefault="00CE74A3" w:rsidP="006062DA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Should it remain two separate subcommittees under TPC and IPC or a WG under SC</w:t>
      </w:r>
    </w:p>
    <w:p w14:paraId="2C2BE5F3" w14:textId="77777777" w:rsidR="0080217F" w:rsidRPr="006062DA" w:rsidRDefault="0080217F" w:rsidP="0080217F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Academic/Industry partnerships</w:t>
      </w:r>
    </w:p>
    <w:p w14:paraId="2B217425" w14:textId="77777777" w:rsidR="0080217F" w:rsidRDefault="0080217F" w:rsidP="0080217F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Science Council proposal to organize and serve as a match-maker for internships / fellowships in industry R&amp;D.</w:t>
      </w:r>
    </w:p>
    <w:p w14:paraId="3D717341" w14:textId="77777777" w:rsidR="0080217F" w:rsidRPr="00EA545C" w:rsidRDefault="0080217F" w:rsidP="0080217F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How would this be done for imaging?</w:t>
      </w:r>
    </w:p>
    <w:p w14:paraId="13B1FC79" w14:textId="6A74B419" w:rsidR="00EA545C" w:rsidRPr="00EA545C" w:rsidRDefault="00EA545C" w:rsidP="00EA545C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2016 Budgeting</w:t>
      </w:r>
    </w:p>
    <w:p w14:paraId="5E602AD1" w14:textId="77777777" w:rsidR="00CE74A3" w:rsidRDefault="00CE74A3" w:rsidP="00EA545C"/>
    <w:sectPr w:rsidR="00CE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905"/>
    <w:multiLevelType w:val="hybridMultilevel"/>
    <w:tmpl w:val="422ABF4C"/>
    <w:lvl w:ilvl="0" w:tplc="ABC2DD18">
      <w:numFmt w:val="bullet"/>
      <w:lvlText w:val=""/>
      <w:lvlJc w:val="left"/>
      <w:pPr>
        <w:ind w:left="420" w:hanging="420"/>
      </w:pPr>
      <w:rPr>
        <w:rFonts w:ascii="Symbol" w:eastAsia="Times New Roman" w:hAnsi="Symbol" w:cs="Times New Roman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537AE"/>
    <w:multiLevelType w:val="hybridMultilevel"/>
    <w:tmpl w:val="8586C9B0"/>
    <w:lvl w:ilvl="0" w:tplc="ABC2DD18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  <w:color w:val="1F497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26A73"/>
    <w:multiLevelType w:val="hybridMultilevel"/>
    <w:tmpl w:val="042C8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9C646E"/>
    <w:multiLevelType w:val="hybridMultilevel"/>
    <w:tmpl w:val="401A7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C975CB"/>
    <w:multiLevelType w:val="hybridMultilevel"/>
    <w:tmpl w:val="6352C6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7F39EB"/>
    <w:multiLevelType w:val="hybridMultilevel"/>
    <w:tmpl w:val="8BE8B926"/>
    <w:lvl w:ilvl="0" w:tplc="ABC2DD18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6A5356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 w:hint="default"/>
        <w:color w:val="1F497D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26F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9CA0269"/>
    <w:multiLevelType w:val="hybridMultilevel"/>
    <w:tmpl w:val="E746F9B0"/>
    <w:lvl w:ilvl="0" w:tplc="ABC2DD18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E424FF"/>
    <w:multiLevelType w:val="multilevel"/>
    <w:tmpl w:val="18ACFC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66"/>
    <w:rsid w:val="001C28CB"/>
    <w:rsid w:val="00362863"/>
    <w:rsid w:val="00391215"/>
    <w:rsid w:val="004275EB"/>
    <w:rsid w:val="004D77E7"/>
    <w:rsid w:val="00594690"/>
    <w:rsid w:val="006062DA"/>
    <w:rsid w:val="0080217F"/>
    <w:rsid w:val="00811506"/>
    <w:rsid w:val="00822BEB"/>
    <w:rsid w:val="0085621E"/>
    <w:rsid w:val="008A09E5"/>
    <w:rsid w:val="00A62A66"/>
    <w:rsid w:val="00A82515"/>
    <w:rsid w:val="00C51C89"/>
    <w:rsid w:val="00C66994"/>
    <w:rsid w:val="00CE74A3"/>
    <w:rsid w:val="00D57C5D"/>
    <w:rsid w:val="00D65563"/>
    <w:rsid w:val="00DF1D28"/>
    <w:rsid w:val="00E702C7"/>
    <w:rsid w:val="00EA545C"/>
    <w:rsid w:val="00FD7BE7"/>
    <w:rsid w:val="046B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A7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22BEB"/>
    <w:pPr>
      <w:spacing w:after="0"/>
    </w:pPr>
    <w:rPr>
      <w:rFonts w:ascii="Arial" w:eastAsia="Arial" w:hAnsi="Arial" w:cs="Arial"/>
      <w:color w:val="00000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594690"/>
    <w:pPr>
      <w:ind w:left="720"/>
      <w:contextualSpacing/>
    </w:pPr>
  </w:style>
  <w:style w:type="paragraph" w:customStyle="1" w:styleId="xmsonormal">
    <w:name w:val="x_msonormal"/>
    <w:basedOn w:val="Normal"/>
    <w:rsid w:val="00C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74A3"/>
  </w:style>
  <w:style w:type="character" w:customStyle="1" w:styleId="highlight">
    <w:name w:val="highlight"/>
    <w:basedOn w:val="DefaultParagraphFont"/>
    <w:rsid w:val="00CE74A3"/>
  </w:style>
  <w:style w:type="paragraph" w:customStyle="1" w:styleId="xmsolistparagraph">
    <w:name w:val="x_msolistparagraph"/>
    <w:basedOn w:val="Normal"/>
    <w:rsid w:val="00C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22BEB"/>
    <w:pPr>
      <w:spacing w:after="0"/>
    </w:pPr>
    <w:rPr>
      <w:rFonts w:ascii="Arial" w:eastAsia="Arial" w:hAnsi="Arial" w:cs="Arial"/>
      <w:color w:val="00000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594690"/>
    <w:pPr>
      <w:ind w:left="720"/>
      <w:contextualSpacing/>
    </w:pPr>
  </w:style>
  <w:style w:type="paragraph" w:customStyle="1" w:styleId="xmsonormal">
    <w:name w:val="x_msonormal"/>
    <w:basedOn w:val="Normal"/>
    <w:rsid w:val="00C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74A3"/>
  </w:style>
  <w:style w:type="character" w:customStyle="1" w:styleId="highlight">
    <w:name w:val="highlight"/>
    <w:basedOn w:val="DefaultParagraphFont"/>
    <w:rsid w:val="00CE74A3"/>
  </w:style>
  <w:style w:type="paragraph" w:customStyle="1" w:styleId="xmsolistparagraph">
    <w:name w:val="x_msolistparagraph"/>
    <w:basedOn w:val="Normal"/>
    <w:rsid w:val="00C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Gingold</dc:creator>
  <cp:lastModifiedBy>Karen MacFarland</cp:lastModifiedBy>
  <cp:revision>2</cp:revision>
  <dcterms:created xsi:type="dcterms:W3CDTF">2015-07-24T10:31:00Z</dcterms:created>
  <dcterms:modified xsi:type="dcterms:W3CDTF">2015-07-24T10:31:00Z</dcterms:modified>
</cp:coreProperties>
</file>