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1B0557">
            <w:pPr>
              <w:rPr>
                <w:b/>
              </w:rPr>
            </w:pPr>
            <w:r>
              <w:rPr>
                <w:b/>
              </w:rPr>
              <w:t>Per H. Halvorsen</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1B0557">
            <w:pPr>
              <w:rPr>
                <w:b/>
              </w:rPr>
            </w:pPr>
            <w:r>
              <w:rPr>
                <w:b/>
              </w:rPr>
              <w:t>American College of Radiology</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1B0557">
            <w:pPr>
              <w:rPr>
                <w:b/>
              </w:rPr>
            </w:pPr>
            <w:r>
              <w:rPr>
                <w:b/>
              </w:rPr>
              <w:t>Councilor, Liaison to Committee on Standards &amp; Accreditation</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1B0557">
            <w:pPr>
              <w:rPr>
                <w:b/>
              </w:rPr>
            </w:pPr>
            <w:r>
              <w:rPr>
                <w:b/>
              </w:rPr>
              <w:t>Attendance at ACR 2015 Annual Meeting</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1B0557">
            <w:pPr>
              <w:rPr>
                <w:b/>
              </w:rPr>
            </w:pPr>
            <w:r>
              <w:rPr>
                <w:b/>
              </w:rPr>
              <w:t>May 16-18</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1B0557">
            <w:pPr>
              <w:rPr>
                <w:b/>
              </w:rPr>
            </w:pPr>
            <w:r>
              <w:rPr>
                <w:b/>
              </w:rPr>
              <w:t>Washington, DC</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9509C8">
            <w:pPr>
              <w:rPr>
                <w:b/>
              </w:rPr>
            </w:pPr>
            <w:r>
              <w:rPr>
                <w:b/>
              </w:rPr>
              <w:t>$1,160.42</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1B0557">
            <w:pPr>
              <w:rPr>
                <w:b/>
              </w:rPr>
            </w:pPr>
            <w:r>
              <w:rPr>
                <w:b/>
              </w:rPr>
              <w:t>Attended to represent AAPM in arguing for/against revisions to ACR-AAPM Collaborative Technical Standards</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1B0557">
            <w:pPr>
              <w:rPr>
                <w:b/>
              </w:rPr>
            </w:pPr>
            <w:r>
              <w:rPr>
                <w:b/>
              </w:rPr>
              <w:t>None</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1B0557">
            <w:pPr>
              <w:rPr>
                <w:b/>
              </w:rPr>
            </w:pPr>
            <w:r>
              <w:rPr>
                <w:b/>
              </w:rPr>
              <w:t>The 2015 Annual Meeting combined the College’s annual governance meeting with a limited program of continuing education.  Attended the Medical Physics Caucus on Sunday where the Resolutions relevant to medical physics were discussed, and we agreed on a strategy for introducing some limited-scope revision requests to the HDR and External Beam Technical Standards in the ACR Council’s open session on Monday.  These requests were incorporated by Reference Committee IV on Monday afternoon, and adopted by the Council in its final vote on Tuesday.  As such, the AAPM’s interests were respected and incorporated into the final versions of the collaborative Technical Standards.</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1B0557">
            <w:pPr>
              <w:rPr>
                <w:b/>
              </w:rPr>
            </w:pPr>
            <w:r>
              <w:rPr>
                <w:b/>
              </w:rPr>
              <w:t>The number of Councilor seats available to medical physicists to ensure appropriate representation in the College’s policy-making process.  By the College’s rules (based on membership base), medical physicists should have 8 Councilor seats.  This had previously been understood to mean At-Large seats, but as individual medical physicists are appointed as Councilors to represent their state chapters, these seats are counted toward the 8 total.  This creates a potential conflict of interest for these physicists, who must weigh their state chapter’s interests (which they’re elected to represent) against the medical physics profession’s interests.</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E338F1">
            <w:pPr>
              <w:rPr>
                <w:b/>
              </w:rPr>
            </w:pPr>
          </w:p>
        </w:tc>
      </w:tr>
    </w:tbl>
    <w:p w:rsidR="003164D9" w:rsidRPr="003164D9" w:rsidRDefault="003164D9" w:rsidP="00FF5C75">
      <w:pPr>
        <w:rPr>
          <w:b/>
        </w:rPr>
      </w:pPr>
      <w:bookmarkStart w:id="0" w:name="_GoBack"/>
      <w:bookmarkEnd w:id="0"/>
    </w:p>
    <w:sectPr w:rsidR="003164D9" w:rsidRPr="003164D9" w:rsidSect="00FF5C75">
      <w:pgSz w:w="12240" w:h="15840"/>
      <w:pgMar w:top="72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57"/>
    <w:rsid w:val="00107A31"/>
    <w:rsid w:val="001B0557"/>
    <w:rsid w:val="001D3AF5"/>
    <w:rsid w:val="003164D9"/>
    <w:rsid w:val="009509C8"/>
    <w:rsid w:val="00AE24F9"/>
    <w:rsid w:val="00E338F1"/>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vor02\Downloads\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individual</Template>
  <TotalTime>22</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Halvorsen, Per H.</dc:creator>
  <cp:lastModifiedBy>Halvorsen, Per H.</cp:lastModifiedBy>
  <cp:revision>1</cp:revision>
  <dcterms:created xsi:type="dcterms:W3CDTF">2015-05-25T18:07:00Z</dcterms:created>
  <dcterms:modified xsi:type="dcterms:W3CDTF">2015-05-25T18:29:00Z</dcterms:modified>
</cp:coreProperties>
</file>