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E338F1" w:rsidRPr="00AC47FE" w:rsidTr="00AC47FE">
        <w:tc>
          <w:tcPr>
            <w:tcW w:w="3348" w:type="dxa"/>
            <w:shd w:val="clear" w:color="auto" w:fill="auto"/>
          </w:tcPr>
          <w:p w:rsidR="00E338F1" w:rsidRPr="00AC47FE" w:rsidRDefault="00E338F1" w:rsidP="00E338F1">
            <w:pPr>
              <w:rPr>
                <w:b/>
              </w:rPr>
            </w:pPr>
            <w:r w:rsidRPr="00AC47FE">
              <w:rPr>
                <w:b/>
              </w:rPr>
              <w:t>Reported by (Name):</w:t>
            </w:r>
          </w:p>
          <w:p w:rsidR="00E338F1" w:rsidRPr="00AC47FE" w:rsidRDefault="00E338F1">
            <w:pPr>
              <w:rPr>
                <w:b/>
              </w:rPr>
            </w:pPr>
          </w:p>
        </w:tc>
        <w:tc>
          <w:tcPr>
            <w:tcW w:w="5508" w:type="dxa"/>
            <w:shd w:val="clear" w:color="auto" w:fill="auto"/>
          </w:tcPr>
          <w:p w:rsidR="00E338F1" w:rsidRPr="007A5BBA" w:rsidRDefault="00115DFE">
            <w:r w:rsidRPr="007A5BBA">
              <w:t>Cynthia McCollough, PhD</w:t>
            </w:r>
          </w:p>
        </w:tc>
      </w:tr>
      <w:tr w:rsidR="00E338F1" w:rsidRPr="00AC47FE" w:rsidTr="00AC47FE">
        <w:tc>
          <w:tcPr>
            <w:tcW w:w="3348" w:type="dxa"/>
            <w:shd w:val="clear" w:color="auto" w:fill="auto"/>
          </w:tcPr>
          <w:p w:rsidR="00E338F1" w:rsidRPr="00AC47FE" w:rsidRDefault="00E338F1" w:rsidP="00E338F1">
            <w:pPr>
              <w:rPr>
                <w:b/>
              </w:rPr>
            </w:pPr>
            <w:r w:rsidRPr="00AC47FE">
              <w:rPr>
                <w:b/>
              </w:rPr>
              <w:t xml:space="preserve">Organization: </w:t>
            </w:r>
          </w:p>
          <w:p w:rsidR="00E338F1" w:rsidRPr="00AC47FE" w:rsidRDefault="00E338F1">
            <w:pPr>
              <w:rPr>
                <w:b/>
              </w:rPr>
            </w:pPr>
          </w:p>
        </w:tc>
        <w:tc>
          <w:tcPr>
            <w:tcW w:w="5508" w:type="dxa"/>
            <w:shd w:val="clear" w:color="auto" w:fill="auto"/>
          </w:tcPr>
          <w:p w:rsidR="00E338F1" w:rsidRPr="007A5BBA" w:rsidRDefault="00115DFE">
            <w:r w:rsidRPr="007A5BBA">
              <w:t>IEC</w:t>
            </w:r>
          </w:p>
        </w:tc>
      </w:tr>
      <w:tr w:rsidR="00E338F1" w:rsidRPr="00AC47FE" w:rsidTr="00AC47FE">
        <w:tc>
          <w:tcPr>
            <w:tcW w:w="3348" w:type="dxa"/>
            <w:shd w:val="clear" w:color="auto" w:fill="auto"/>
          </w:tcPr>
          <w:p w:rsidR="00E338F1" w:rsidRPr="00AC47FE" w:rsidRDefault="00E338F1" w:rsidP="00E338F1">
            <w:pPr>
              <w:rPr>
                <w:b/>
              </w:rPr>
            </w:pPr>
            <w:r w:rsidRPr="00AC47FE">
              <w:rPr>
                <w:b/>
              </w:rPr>
              <w:t>Position Title:</w:t>
            </w:r>
          </w:p>
          <w:p w:rsidR="00E338F1" w:rsidRPr="00AC47FE" w:rsidRDefault="00E338F1">
            <w:pPr>
              <w:rPr>
                <w:b/>
              </w:rPr>
            </w:pPr>
          </w:p>
        </w:tc>
        <w:tc>
          <w:tcPr>
            <w:tcW w:w="5508" w:type="dxa"/>
            <w:shd w:val="clear" w:color="auto" w:fill="auto"/>
          </w:tcPr>
          <w:p w:rsidR="00E338F1" w:rsidRPr="007A5BBA" w:rsidRDefault="00115DFE">
            <w:r w:rsidRPr="007A5BBA">
              <w:t>Liaison</w:t>
            </w:r>
          </w:p>
        </w:tc>
      </w:tr>
      <w:tr w:rsidR="00E338F1" w:rsidRPr="00AC47FE" w:rsidTr="00AC47FE">
        <w:tc>
          <w:tcPr>
            <w:tcW w:w="3348" w:type="dxa"/>
            <w:shd w:val="clear" w:color="auto" w:fill="auto"/>
          </w:tcPr>
          <w:p w:rsidR="00E338F1" w:rsidRPr="00AC47FE" w:rsidRDefault="00E338F1" w:rsidP="00E338F1">
            <w:pPr>
              <w:rPr>
                <w:b/>
              </w:rPr>
            </w:pPr>
            <w:r w:rsidRPr="00AC47FE">
              <w:rPr>
                <w:b/>
              </w:rPr>
              <w:t>Activity:</w:t>
            </w:r>
          </w:p>
          <w:p w:rsidR="00E338F1" w:rsidRPr="00AC47FE" w:rsidRDefault="00E338F1">
            <w:pPr>
              <w:rPr>
                <w:b/>
              </w:rPr>
            </w:pPr>
          </w:p>
        </w:tc>
        <w:tc>
          <w:tcPr>
            <w:tcW w:w="5508" w:type="dxa"/>
            <w:shd w:val="clear" w:color="auto" w:fill="auto"/>
          </w:tcPr>
          <w:p w:rsidR="00115DFE" w:rsidRPr="007A5BBA" w:rsidRDefault="00115DFE" w:rsidP="00115DFE">
            <w:pPr>
              <w:numPr>
                <w:ilvl w:val="0"/>
                <w:numId w:val="2"/>
              </w:numPr>
              <w:ind w:left="342" w:hanging="270"/>
            </w:pPr>
            <w:r w:rsidRPr="007A5BBA">
              <w:t>Member IEC Maintenance Team 30 (CT)</w:t>
            </w:r>
          </w:p>
          <w:p w:rsidR="00115DFE" w:rsidRPr="007A5BBA" w:rsidRDefault="00115DFE" w:rsidP="00115DFE">
            <w:pPr>
              <w:numPr>
                <w:ilvl w:val="0"/>
                <w:numId w:val="2"/>
              </w:numPr>
              <w:ind w:left="342" w:hanging="270"/>
            </w:pPr>
            <w:r w:rsidRPr="007A5BBA">
              <w:t>Member IEC Project Team 62985 (SSDE)</w:t>
            </w:r>
          </w:p>
          <w:p w:rsidR="00115DFE" w:rsidRPr="007A5BBA" w:rsidRDefault="00115DFE" w:rsidP="00115DFE">
            <w:pPr>
              <w:numPr>
                <w:ilvl w:val="0"/>
                <w:numId w:val="2"/>
              </w:numPr>
              <w:ind w:left="342" w:hanging="270"/>
            </w:pPr>
            <w:r w:rsidRPr="007A5BBA">
              <w:t>Review of and comments on IEC 62B International Draft Standards for U.S. Technical Advisory Group</w:t>
            </w:r>
          </w:p>
        </w:tc>
      </w:tr>
      <w:tr w:rsidR="00E338F1" w:rsidRPr="00AC47FE" w:rsidTr="00AC47FE">
        <w:trPr>
          <w:trHeight w:val="260"/>
        </w:trPr>
        <w:tc>
          <w:tcPr>
            <w:tcW w:w="3348" w:type="dxa"/>
            <w:shd w:val="clear" w:color="auto" w:fill="auto"/>
          </w:tcPr>
          <w:p w:rsidR="00E338F1" w:rsidRPr="00AC47FE" w:rsidRDefault="00E338F1" w:rsidP="00E338F1">
            <w:pPr>
              <w:rPr>
                <w:b/>
              </w:rPr>
            </w:pPr>
            <w:r w:rsidRPr="00AC47FE">
              <w:rPr>
                <w:b/>
              </w:rPr>
              <w:t>Meeting Dates:</w:t>
            </w:r>
          </w:p>
          <w:p w:rsidR="00E338F1" w:rsidRPr="00AC47FE" w:rsidRDefault="00E338F1">
            <w:pPr>
              <w:rPr>
                <w:b/>
              </w:rPr>
            </w:pPr>
          </w:p>
        </w:tc>
        <w:tc>
          <w:tcPr>
            <w:tcW w:w="5508" w:type="dxa"/>
            <w:shd w:val="clear" w:color="auto" w:fill="auto"/>
          </w:tcPr>
          <w:p w:rsidR="00E338F1" w:rsidRPr="007A5BBA" w:rsidRDefault="00115DFE">
            <w:r w:rsidRPr="007A5BBA">
              <w:t>September 12-15, 2017</w:t>
            </w:r>
          </w:p>
        </w:tc>
      </w:tr>
      <w:tr w:rsidR="00E338F1" w:rsidRPr="00AC47FE" w:rsidTr="00AC47FE">
        <w:tc>
          <w:tcPr>
            <w:tcW w:w="3348" w:type="dxa"/>
            <w:shd w:val="clear" w:color="auto" w:fill="auto"/>
          </w:tcPr>
          <w:p w:rsidR="00E338F1" w:rsidRPr="00AC47FE" w:rsidRDefault="00E338F1" w:rsidP="00E338F1">
            <w:pPr>
              <w:rPr>
                <w:b/>
              </w:rPr>
            </w:pPr>
            <w:r w:rsidRPr="00AC47FE">
              <w:rPr>
                <w:b/>
              </w:rPr>
              <w:t>Meeting Location:</w:t>
            </w:r>
          </w:p>
          <w:p w:rsidR="00E338F1" w:rsidRPr="00AC47FE" w:rsidRDefault="00E338F1">
            <w:pPr>
              <w:rPr>
                <w:b/>
              </w:rPr>
            </w:pPr>
          </w:p>
        </w:tc>
        <w:tc>
          <w:tcPr>
            <w:tcW w:w="5508" w:type="dxa"/>
            <w:shd w:val="clear" w:color="auto" w:fill="auto"/>
          </w:tcPr>
          <w:p w:rsidR="00E338F1" w:rsidRPr="007A5BBA" w:rsidRDefault="00115DFE">
            <w:proofErr w:type="spellStart"/>
            <w:r w:rsidRPr="007A5BBA">
              <w:t>Kista</w:t>
            </w:r>
            <w:proofErr w:type="spellEnd"/>
            <w:r w:rsidRPr="007A5BBA">
              <w:t>, Sweden</w:t>
            </w:r>
          </w:p>
        </w:tc>
      </w:tr>
      <w:tr w:rsidR="00E338F1" w:rsidRPr="00AC47FE" w:rsidTr="00AC47FE">
        <w:tc>
          <w:tcPr>
            <w:tcW w:w="3348" w:type="dxa"/>
            <w:shd w:val="clear" w:color="auto" w:fill="auto"/>
          </w:tcPr>
          <w:p w:rsidR="00E338F1" w:rsidRPr="00AC47FE" w:rsidRDefault="00E338F1" w:rsidP="00E338F1">
            <w:pPr>
              <w:rPr>
                <w:b/>
              </w:rPr>
            </w:pPr>
            <w:r w:rsidRPr="00AC47FE">
              <w:rPr>
                <w:b/>
              </w:rPr>
              <w:t>Payment $:</w:t>
            </w:r>
          </w:p>
          <w:p w:rsidR="00E338F1" w:rsidRPr="00AC47FE" w:rsidRDefault="00E338F1">
            <w:pPr>
              <w:rPr>
                <w:b/>
              </w:rPr>
            </w:pPr>
          </w:p>
        </w:tc>
        <w:tc>
          <w:tcPr>
            <w:tcW w:w="5508" w:type="dxa"/>
            <w:shd w:val="clear" w:color="auto" w:fill="auto"/>
          </w:tcPr>
          <w:p w:rsidR="00E338F1" w:rsidRPr="007A5BBA" w:rsidRDefault="00115DFE">
            <w:r w:rsidRPr="007A5BBA">
              <w:t>Travel reimbursement</w:t>
            </w:r>
            <w:r w:rsidR="007A5BBA">
              <w:t>, ~ $4000</w:t>
            </w:r>
          </w:p>
        </w:tc>
      </w:tr>
      <w:tr w:rsidR="00E338F1" w:rsidRPr="00AC47FE" w:rsidTr="00AC47FE">
        <w:tc>
          <w:tcPr>
            <w:tcW w:w="3348" w:type="dxa"/>
            <w:shd w:val="clear" w:color="auto" w:fill="auto"/>
          </w:tcPr>
          <w:p w:rsidR="00E338F1" w:rsidRPr="00AC47FE" w:rsidRDefault="00E338F1" w:rsidP="00E338F1">
            <w:pPr>
              <w:rPr>
                <w:b/>
              </w:rPr>
            </w:pPr>
            <w:r w:rsidRPr="00AC47FE">
              <w:rPr>
                <w:b/>
              </w:rPr>
              <w:t>Reasons for Attending or not Attending</w:t>
            </w:r>
          </w:p>
          <w:p w:rsidR="00E338F1" w:rsidRPr="00AC47FE" w:rsidRDefault="00E338F1">
            <w:pPr>
              <w:rPr>
                <w:b/>
              </w:rPr>
            </w:pPr>
          </w:p>
        </w:tc>
        <w:tc>
          <w:tcPr>
            <w:tcW w:w="5508" w:type="dxa"/>
            <w:shd w:val="clear" w:color="auto" w:fill="auto"/>
          </w:tcPr>
          <w:p w:rsidR="00115DFE" w:rsidRPr="007A5BBA" w:rsidRDefault="00115DFE" w:rsidP="00115DFE">
            <w:r w:rsidRPr="007A5BBA">
              <w:t xml:space="preserve">Working meeting of </w:t>
            </w:r>
            <w:r w:rsidRPr="007A5BBA">
              <w:t>IEC Maintenance Team 30 (CT)</w:t>
            </w:r>
            <w:r w:rsidRPr="007A5BBA">
              <w:t xml:space="preserve"> and </w:t>
            </w:r>
            <w:r w:rsidRPr="007A5BBA">
              <w:t>IEC Project Team 62985 (SSDE)</w:t>
            </w:r>
          </w:p>
          <w:p w:rsidR="00E338F1" w:rsidRPr="007A5BBA" w:rsidRDefault="00E338F1"/>
        </w:tc>
      </w:tr>
      <w:tr w:rsidR="00E338F1" w:rsidRPr="00AC47FE" w:rsidTr="00AC47FE">
        <w:tc>
          <w:tcPr>
            <w:tcW w:w="3348" w:type="dxa"/>
            <w:shd w:val="clear" w:color="auto" w:fill="auto"/>
          </w:tcPr>
          <w:p w:rsidR="00E338F1" w:rsidRPr="00AC47FE" w:rsidRDefault="00E338F1" w:rsidP="00E338F1">
            <w:pPr>
              <w:rPr>
                <w:b/>
              </w:rPr>
            </w:pPr>
            <w:r w:rsidRPr="00AC47FE">
              <w:rPr>
                <w:b/>
              </w:rPr>
              <w:t>Issues from Previous Meetings or Year:</w:t>
            </w:r>
          </w:p>
          <w:p w:rsidR="00E338F1" w:rsidRPr="00AC47FE" w:rsidRDefault="00E338F1">
            <w:pPr>
              <w:rPr>
                <w:b/>
              </w:rPr>
            </w:pPr>
          </w:p>
        </w:tc>
        <w:tc>
          <w:tcPr>
            <w:tcW w:w="5508" w:type="dxa"/>
            <w:shd w:val="clear" w:color="auto" w:fill="auto"/>
          </w:tcPr>
          <w:p w:rsidR="00E338F1" w:rsidRPr="007A5BBA" w:rsidRDefault="00115DFE">
            <w:r w:rsidRPr="007A5BBA">
              <w:t>Continue work of draft standards, review comments from circulation of drafts to national committees</w:t>
            </w:r>
          </w:p>
        </w:tc>
      </w:tr>
      <w:tr w:rsidR="00E338F1" w:rsidRPr="00AC47FE" w:rsidTr="00AC47FE">
        <w:tc>
          <w:tcPr>
            <w:tcW w:w="3348" w:type="dxa"/>
            <w:shd w:val="clear" w:color="auto" w:fill="auto"/>
          </w:tcPr>
          <w:p w:rsidR="00E338F1" w:rsidRPr="00AC47FE" w:rsidRDefault="00E338F1" w:rsidP="00E338F1">
            <w:pPr>
              <w:rPr>
                <w:b/>
              </w:rPr>
            </w:pPr>
            <w:r w:rsidRPr="00AC47FE">
              <w:rPr>
                <w:b/>
              </w:rPr>
              <w:t>General Description of Activities of the Organization and/or Meeting:</w:t>
            </w:r>
          </w:p>
          <w:p w:rsidR="00E338F1" w:rsidRPr="00AC47FE" w:rsidRDefault="00E338F1">
            <w:pPr>
              <w:rPr>
                <w:b/>
              </w:rPr>
            </w:pPr>
          </w:p>
        </w:tc>
        <w:tc>
          <w:tcPr>
            <w:tcW w:w="5508" w:type="dxa"/>
            <w:shd w:val="clear" w:color="auto" w:fill="auto"/>
          </w:tcPr>
          <w:p w:rsidR="009C79F8" w:rsidRPr="007A5BBA" w:rsidRDefault="00115DFE" w:rsidP="00115DFE">
            <w:pPr>
              <w:pStyle w:val="ListParagraph"/>
              <w:tabs>
                <w:tab w:val="left" w:pos="821"/>
              </w:tabs>
              <w:ind w:right="881"/>
              <w:rPr>
                <w:rFonts w:ascii="Times New Roman" w:eastAsia="Times New Roman" w:hAnsi="Times New Roman"/>
                <w:sz w:val="24"/>
                <w:szCs w:val="24"/>
              </w:rPr>
            </w:pPr>
            <w:r w:rsidRPr="007A5BBA">
              <w:rPr>
                <w:rFonts w:ascii="Times New Roman" w:eastAsia="Times New Roman" w:hAnsi="Times New Roman"/>
                <w:sz w:val="24"/>
                <w:szCs w:val="24"/>
              </w:rPr>
              <w:t xml:space="preserve">Four days were spent going through 25 pages of comments on the SSDE standard and 57 pages of comments on the Acceptance Testing and Constancy Testing document. </w:t>
            </w:r>
          </w:p>
          <w:p w:rsidR="00115DFE" w:rsidRPr="007A5BBA" w:rsidRDefault="00115DFE" w:rsidP="00115DFE">
            <w:pPr>
              <w:pStyle w:val="ListParagraph"/>
              <w:tabs>
                <w:tab w:val="left" w:pos="821"/>
              </w:tabs>
              <w:ind w:right="881"/>
              <w:rPr>
                <w:rFonts w:ascii="Times New Roman" w:eastAsia="Times New Roman" w:hAnsi="Times New Roman"/>
                <w:sz w:val="24"/>
                <w:szCs w:val="24"/>
              </w:rPr>
            </w:pPr>
          </w:p>
          <w:p w:rsidR="00115DFE" w:rsidRPr="007A5BBA" w:rsidRDefault="00115DFE" w:rsidP="00115DFE">
            <w:pPr>
              <w:pStyle w:val="ListParagraph"/>
              <w:tabs>
                <w:tab w:val="left" w:pos="821"/>
              </w:tabs>
              <w:ind w:right="881"/>
              <w:rPr>
                <w:rFonts w:ascii="Times New Roman" w:eastAsia="Times New Roman" w:hAnsi="Times New Roman"/>
                <w:sz w:val="24"/>
                <w:szCs w:val="24"/>
              </w:rPr>
            </w:pPr>
            <w:r w:rsidRPr="007A5BBA">
              <w:rPr>
                <w:rFonts w:ascii="Times New Roman" w:eastAsia="Times New Roman" w:hAnsi="Times New Roman"/>
                <w:sz w:val="24"/>
                <w:szCs w:val="24"/>
              </w:rPr>
              <w:t>All comments were discussed and many changes made to the draft standards. Responses to all comments were recorded.</w:t>
            </w:r>
          </w:p>
          <w:p w:rsidR="00115DFE" w:rsidRPr="007A5BBA" w:rsidRDefault="00115DFE" w:rsidP="00115DFE">
            <w:pPr>
              <w:pStyle w:val="ListParagraph"/>
              <w:tabs>
                <w:tab w:val="left" w:pos="821"/>
              </w:tabs>
              <w:ind w:right="881"/>
              <w:rPr>
                <w:rFonts w:ascii="Times New Roman" w:eastAsia="Times New Roman" w:hAnsi="Times New Roman"/>
                <w:sz w:val="24"/>
                <w:szCs w:val="24"/>
              </w:rPr>
            </w:pPr>
          </w:p>
          <w:p w:rsidR="00115DFE" w:rsidRPr="007A5BBA" w:rsidRDefault="00115DFE" w:rsidP="00115DFE">
            <w:pPr>
              <w:pStyle w:val="ListParagraph"/>
              <w:tabs>
                <w:tab w:val="left" w:pos="821"/>
              </w:tabs>
              <w:ind w:right="881"/>
              <w:rPr>
                <w:rFonts w:ascii="Times New Roman" w:eastAsia="Times New Roman" w:hAnsi="Times New Roman"/>
                <w:sz w:val="24"/>
                <w:szCs w:val="24"/>
              </w:rPr>
            </w:pPr>
            <w:r w:rsidRPr="007A5BBA">
              <w:rPr>
                <w:rFonts w:ascii="Times New Roman" w:eastAsia="Times New Roman" w:hAnsi="Times New Roman"/>
                <w:sz w:val="24"/>
                <w:szCs w:val="24"/>
              </w:rPr>
              <w:t>We were able to get through all comments and come to consensus on the next version, which will be sent out as a Committee Draft for Vote (CDV). If no technical comments are received, the standard becomes official. If technical comments are received, they will be addressed at the March, 2018 meeting in China. After the China meeting, we will send out what we hope to be the final draft international standard for final vote.</w:t>
            </w:r>
          </w:p>
          <w:p w:rsidR="00115DFE" w:rsidRPr="007A5BBA" w:rsidRDefault="00115DFE" w:rsidP="00115DFE">
            <w:pPr>
              <w:pStyle w:val="ListParagraph"/>
              <w:tabs>
                <w:tab w:val="left" w:pos="821"/>
              </w:tabs>
              <w:ind w:right="881"/>
              <w:rPr>
                <w:rFonts w:ascii="Times New Roman" w:eastAsia="Times New Roman" w:hAnsi="Times New Roman"/>
                <w:sz w:val="24"/>
                <w:szCs w:val="24"/>
              </w:rPr>
            </w:pPr>
          </w:p>
          <w:p w:rsidR="00115DFE" w:rsidRPr="007A5BBA" w:rsidRDefault="00115DFE" w:rsidP="00115DFE">
            <w:pPr>
              <w:pStyle w:val="ListParagraph"/>
              <w:tabs>
                <w:tab w:val="left" w:pos="821"/>
              </w:tabs>
              <w:ind w:right="881"/>
              <w:rPr>
                <w:rFonts w:ascii="Times New Roman" w:eastAsia="Times New Roman" w:hAnsi="Times New Roman"/>
                <w:sz w:val="24"/>
                <w:szCs w:val="24"/>
              </w:rPr>
            </w:pPr>
            <w:r w:rsidRPr="007A5BBA">
              <w:rPr>
                <w:rFonts w:ascii="Times New Roman" w:eastAsia="Times New Roman" w:hAnsi="Times New Roman"/>
                <w:sz w:val="24"/>
                <w:szCs w:val="24"/>
              </w:rPr>
              <w:t xml:space="preserve">It is </w:t>
            </w:r>
            <w:proofErr w:type="gramStart"/>
            <w:r w:rsidRPr="007A5BBA">
              <w:rPr>
                <w:rFonts w:ascii="Times New Roman" w:eastAsia="Times New Roman" w:hAnsi="Times New Roman"/>
                <w:sz w:val="24"/>
                <w:szCs w:val="24"/>
              </w:rPr>
              <w:t>existing</w:t>
            </w:r>
            <w:proofErr w:type="gramEnd"/>
            <w:r w:rsidRPr="007A5BBA">
              <w:rPr>
                <w:rFonts w:ascii="Times New Roman" w:eastAsia="Times New Roman" w:hAnsi="Times New Roman"/>
                <w:sz w:val="24"/>
                <w:szCs w:val="24"/>
              </w:rPr>
              <w:t xml:space="preserve"> to see SSDE – a concept developed by an AAPM task group – being converted to an international standard!</w:t>
            </w:r>
          </w:p>
          <w:p w:rsidR="00E338F1" w:rsidRPr="007A5BBA" w:rsidRDefault="00E338F1"/>
        </w:tc>
      </w:tr>
      <w:tr w:rsidR="00E338F1" w:rsidRPr="00AC47FE" w:rsidTr="00AC47FE">
        <w:tc>
          <w:tcPr>
            <w:tcW w:w="3348" w:type="dxa"/>
            <w:shd w:val="clear" w:color="auto" w:fill="auto"/>
          </w:tcPr>
          <w:p w:rsidR="00E338F1" w:rsidRPr="00AC47FE" w:rsidRDefault="00E338F1" w:rsidP="00E338F1">
            <w:pPr>
              <w:rPr>
                <w:b/>
              </w:rPr>
            </w:pPr>
            <w:r w:rsidRPr="00AC47FE">
              <w:rPr>
                <w:b/>
              </w:rPr>
              <w:lastRenderedPageBreak/>
              <w:t>Issues for AAPM:</w:t>
            </w:r>
          </w:p>
          <w:p w:rsidR="00E338F1" w:rsidRPr="00AC47FE" w:rsidRDefault="00E338F1">
            <w:pPr>
              <w:rPr>
                <w:b/>
              </w:rPr>
            </w:pPr>
          </w:p>
        </w:tc>
        <w:tc>
          <w:tcPr>
            <w:tcW w:w="5508" w:type="dxa"/>
            <w:shd w:val="clear" w:color="auto" w:fill="auto"/>
          </w:tcPr>
          <w:p w:rsidR="00E338F1" w:rsidRPr="007A5BBA" w:rsidRDefault="00115DFE">
            <w:r w:rsidRPr="007A5BBA">
              <w:t>Convey progress to AAPM CT Subcommittee - done</w:t>
            </w:r>
          </w:p>
        </w:tc>
      </w:tr>
      <w:tr w:rsidR="00E338F1" w:rsidRPr="00AC47FE" w:rsidTr="00AC47FE">
        <w:tc>
          <w:tcPr>
            <w:tcW w:w="3348" w:type="dxa"/>
            <w:shd w:val="clear" w:color="auto" w:fill="auto"/>
          </w:tcPr>
          <w:p w:rsidR="00E338F1" w:rsidRPr="00AC47FE" w:rsidRDefault="00E338F1" w:rsidP="00E338F1">
            <w:pPr>
              <w:rPr>
                <w:b/>
              </w:rPr>
            </w:pPr>
            <w:r w:rsidRPr="00AC47FE">
              <w:rPr>
                <w:b/>
              </w:rPr>
              <w:t>Budget Request ($):</w:t>
            </w:r>
          </w:p>
          <w:p w:rsidR="00E338F1" w:rsidRPr="00AC47FE" w:rsidRDefault="00E338F1">
            <w:pPr>
              <w:rPr>
                <w:b/>
              </w:rPr>
            </w:pPr>
          </w:p>
        </w:tc>
        <w:tc>
          <w:tcPr>
            <w:tcW w:w="5508" w:type="dxa"/>
            <w:shd w:val="clear" w:color="auto" w:fill="auto"/>
          </w:tcPr>
          <w:p w:rsidR="00E338F1" w:rsidRPr="007A5BBA" w:rsidRDefault="009C79F8" w:rsidP="007A5BBA">
            <w:r w:rsidRPr="007A5BBA">
              <w:t>None</w:t>
            </w:r>
            <w:r w:rsidR="00115DFE" w:rsidRPr="007A5BBA">
              <w:t xml:space="preserve"> – already reimbursed</w:t>
            </w:r>
            <w:r w:rsidR="007A5BBA">
              <w:t>. Budget is allocated through IEC WG.</w:t>
            </w:r>
            <w:bookmarkStart w:id="0" w:name="_GoBack"/>
            <w:bookmarkEnd w:id="0"/>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0F28"/>
    <w:multiLevelType w:val="hybridMultilevel"/>
    <w:tmpl w:val="22AEEEB2"/>
    <w:lvl w:ilvl="0" w:tplc="EAE26872">
      <w:start w:val="1"/>
      <w:numFmt w:val="decimal"/>
      <w:lvlText w:val="%1."/>
      <w:lvlJc w:val="left"/>
      <w:pPr>
        <w:ind w:left="820" w:hanging="360"/>
      </w:pPr>
      <w:rPr>
        <w:rFonts w:ascii="Times New Roman" w:eastAsia="Times New Roman" w:hAnsi="Times New Roman" w:hint="default"/>
        <w:w w:val="100"/>
        <w:sz w:val="24"/>
        <w:szCs w:val="24"/>
      </w:rPr>
    </w:lvl>
    <w:lvl w:ilvl="1" w:tplc="37C6162A">
      <w:start w:val="1"/>
      <w:numFmt w:val="bullet"/>
      <w:lvlText w:val="•"/>
      <w:lvlJc w:val="left"/>
      <w:pPr>
        <w:ind w:left="1802" w:hanging="360"/>
      </w:pPr>
      <w:rPr>
        <w:rFonts w:hint="default"/>
      </w:rPr>
    </w:lvl>
    <w:lvl w:ilvl="2" w:tplc="CACA4412">
      <w:start w:val="1"/>
      <w:numFmt w:val="bullet"/>
      <w:lvlText w:val="•"/>
      <w:lvlJc w:val="left"/>
      <w:pPr>
        <w:ind w:left="2784" w:hanging="360"/>
      </w:pPr>
      <w:rPr>
        <w:rFonts w:hint="default"/>
      </w:rPr>
    </w:lvl>
    <w:lvl w:ilvl="3" w:tplc="C8642402">
      <w:start w:val="1"/>
      <w:numFmt w:val="bullet"/>
      <w:lvlText w:val="•"/>
      <w:lvlJc w:val="left"/>
      <w:pPr>
        <w:ind w:left="3766" w:hanging="360"/>
      </w:pPr>
      <w:rPr>
        <w:rFonts w:hint="default"/>
      </w:rPr>
    </w:lvl>
    <w:lvl w:ilvl="4" w:tplc="DAA0EB72">
      <w:start w:val="1"/>
      <w:numFmt w:val="bullet"/>
      <w:lvlText w:val="•"/>
      <w:lvlJc w:val="left"/>
      <w:pPr>
        <w:ind w:left="4748" w:hanging="360"/>
      </w:pPr>
      <w:rPr>
        <w:rFonts w:hint="default"/>
      </w:rPr>
    </w:lvl>
    <w:lvl w:ilvl="5" w:tplc="24646264">
      <w:start w:val="1"/>
      <w:numFmt w:val="bullet"/>
      <w:lvlText w:val="•"/>
      <w:lvlJc w:val="left"/>
      <w:pPr>
        <w:ind w:left="5730" w:hanging="360"/>
      </w:pPr>
      <w:rPr>
        <w:rFonts w:hint="default"/>
      </w:rPr>
    </w:lvl>
    <w:lvl w:ilvl="6" w:tplc="EF80834A">
      <w:start w:val="1"/>
      <w:numFmt w:val="bullet"/>
      <w:lvlText w:val="•"/>
      <w:lvlJc w:val="left"/>
      <w:pPr>
        <w:ind w:left="6712" w:hanging="360"/>
      </w:pPr>
      <w:rPr>
        <w:rFonts w:hint="default"/>
      </w:rPr>
    </w:lvl>
    <w:lvl w:ilvl="7" w:tplc="33F0E3FE">
      <w:start w:val="1"/>
      <w:numFmt w:val="bullet"/>
      <w:lvlText w:val="•"/>
      <w:lvlJc w:val="left"/>
      <w:pPr>
        <w:ind w:left="7694" w:hanging="360"/>
      </w:pPr>
      <w:rPr>
        <w:rFonts w:hint="default"/>
      </w:rPr>
    </w:lvl>
    <w:lvl w:ilvl="8" w:tplc="2CE48742">
      <w:start w:val="1"/>
      <w:numFmt w:val="bullet"/>
      <w:lvlText w:val="•"/>
      <w:lvlJc w:val="left"/>
      <w:pPr>
        <w:ind w:left="8676" w:hanging="360"/>
      </w:pPr>
      <w:rPr>
        <w:rFonts w:hint="default"/>
      </w:rPr>
    </w:lvl>
  </w:abstractNum>
  <w:abstractNum w:abstractNumId="1">
    <w:nsid w:val="3A8F3A11"/>
    <w:multiLevelType w:val="hybridMultilevel"/>
    <w:tmpl w:val="9730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F5"/>
    <w:rsid w:val="00107A31"/>
    <w:rsid w:val="00115DFE"/>
    <w:rsid w:val="001D3AF5"/>
    <w:rsid w:val="003164D9"/>
    <w:rsid w:val="007A5BBA"/>
    <w:rsid w:val="009C79F8"/>
    <w:rsid w:val="00AC47FE"/>
    <w:rsid w:val="00AE24F9"/>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C79F8"/>
    <w:pPr>
      <w:widowControl w:val="0"/>
      <w:ind w:left="100" w:hanging="360"/>
    </w:pPr>
    <w:rPr>
      <w:rFonts w:eastAsia="Times New Roman"/>
      <w:lang w:eastAsia="en-US"/>
    </w:rPr>
  </w:style>
  <w:style w:type="character" w:customStyle="1" w:styleId="BodyTextChar">
    <w:name w:val="Body Text Char"/>
    <w:link w:val="BodyText"/>
    <w:uiPriority w:val="1"/>
    <w:rsid w:val="009C79F8"/>
    <w:rPr>
      <w:rFonts w:eastAsia="Times New Roman"/>
      <w:sz w:val="24"/>
      <w:szCs w:val="24"/>
    </w:rPr>
  </w:style>
  <w:style w:type="paragraph" w:styleId="ListParagraph">
    <w:name w:val="List Paragraph"/>
    <w:basedOn w:val="Normal"/>
    <w:uiPriority w:val="1"/>
    <w:qFormat/>
    <w:rsid w:val="009C79F8"/>
    <w:pPr>
      <w:widowControl w:val="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C79F8"/>
    <w:pPr>
      <w:widowControl w:val="0"/>
      <w:ind w:left="100" w:hanging="360"/>
    </w:pPr>
    <w:rPr>
      <w:rFonts w:eastAsia="Times New Roman"/>
      <w:lang w:eastAsia="en-US"/>
    </w:rPr>
  </w:style>
  <w:style w:type="character" w:customStyle="1" w:styleId="BodyTextChar">
    <w:name w:val="Body Text Char"/>
    <w:link w:val="BodyText"/>
    <w:uiPriority w:val="1"/>
    <w:rsid w:val="009C79F8"/>
    <w:rPr>
      <w:rFonts w:eastAsia="Times New Roman"/>
      <w:sz w:val="24"/>
      <w:szCs w:val="24"/>
    </w:rPr>
  </w:style>
  <w:style w:type="paragraph" w:styleId="ListParagraph">
    <w:name w:val="List Paragraph"/>
    <w:basedOn w:val="Normal"/>
    <w:uiPriority w:val="1"/>
    <w:qFormat/>
    <w:rsid w:val="009C79F8"/>
    <w:pPr>
      <w:widowControl w:val="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1198.dot</Template>
  <TotalTime>1</TotalTime>
  <Pages>2</Pages>
  <Words>256</Words>
  <Characters>1461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zailu</dc:creator>
  <cp:lastModifiedBy>Cynthia H McCollough</cp:lastModifiedBy>
  <cp:revision>2</cp:revision>
  <dcterms:created xsi:type="dcterms:W3CDTF">2018-01-25T18:44:00Z</dcterms:created>
  <dcterms:modified xsi:type="dcterms:W3CDTF">2018-01-25T18:44:00Z</dcterms:modified>
</cp:coreProperties>
</file>