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3279"/>
        <w:gridCol w:w="5351"/>
      </w:tblGrid>
      <w:tr w:rsidR="00E338F1" w14:paraId="295E9B69" w14:textId="77777777">
        <w:tc>
          <w:tcPr>
            <w:tcW w:w="3348" w:type="dxa"/>
          </w:tcPr>
          <w:p w14:paraId="209F9B35" w14:textId="77777777" w:rsidR="00E338F1" w:rsidRPr="003164D9" w:rsidRDefault="00E338F1" w:rsidP="00E338F1">
            <w:pPr>
              <w:rPr>
                <w:b/>
              </w:rPr>
            </w:pPr>
            <w:r w:rsidRPr="003164D9">
              <w:rPr>
                <w:b/>
              </w:rPr>
              <w:t>Reported by (Name):</w:t>
            </w:r>
          </w:p>
          <w:p w14:paraId="2611FEE5" w14:textId="77777777" w:rsidR="00E338F1" w:rsidRDefault="00E338F1">
            <w:pPr>
              <w:rPr>
                <w:b/>
              </w:rPr>
            </w:pPr>
          </w:p>
        </w:tc>
        <w:tc>
          <w:tcPr>
            <w:tcW w:w="5508" w:type="dxa"/>
          </w:tcPr>
          <w:p w14:paraId="1B6C6B57" w14:textId="78BC135E" w:rsidR="00E338F1" w:rsidRDefault="00DE3082">
            <w:pPr>
              <w:rPr>
                <w:b/>
              </w:rPr>
            </w:pPr>
            <w:r>
              <w:rPr>
                <w:b/>
              </w:rPr>
              <w:t>Bruce Curran</w:t>
            </w:r>
          </w:p>
        </w:tc>
      </w:tr>
      <w:tr w:rsidR="00E338F1" w14:paraId="40D69C86" w14:textId="77777777">
        <w:tc>
          <w:tcPr>
            <w:tcW w:w="3348" w:type="dxa"/>
          </w:tcPr>
          <w:p w14:paraId="2D7CC477" w14:textId="77777777" w:rsidR="00E338F1" w:rsidRPr="003164D9" w:rsidRDefault="00E338F1" w:rsidP="00E338F1">
            <w:pPr>
              <w:rPr>
                <w:b/>
              </w:rPr>
            </w:pPr>
            <w:r w:rsidRPr="003164D9">
              <w:rPr>
                <w:b/>
              </w:rPr>
              <w:t xml:space="preserve">Organization: </w:t>
            </w:r>
          </w:p>
          <w:p w14:paraId="2689E159" w14:textId="77777777" w:rsidR="00E338F1" w:rsidRDefault="00E338F1">
            <w:pPr>
              <w:rPr>
                <w:b/>
              </w:rPr>
            </w:pPr>
          </w:p>
        </w:tc>
        <w:tc>
          <w:tcPr>
            <w:tcW w:w="5508" w:type="dxa"/>
          </w:tcPr>
          <w:p w14:paraId="1296DE30" w14:textId="17A02C95" w:rsidR="00E338F1" w:rsidRDefault="00DE3082">
            <w:pPr>
              <w:rPr>
                <w:b/>
              </w:rPr>
            </w:pPr>
            <w:r>
              <w:rPr>
                <w:b/>
              </w:rPr>
              <w:t>American Institute of Physics</w:t>
            </w:r>
          </w:p>
        </w:tc>
      </w:tr>
      <w:tr w:rsidR="00E338F1" w14:paraId="39459174" w14:textId="77777777">
        <w:tc>
          <w:tcPr>
            <w:tcW w:w="3348" w:type="dxa"/>
          </w:tcPr>
          <w:p w14:paraId="043F864B" w14:textId="77777777" w:rsidR="00E338F1" w:rsidRPr="003164D9" w:rsidRDefault="00E338F1" w:rsidP="00E338F1">
            <w:pPr>
              <w:rPr>
                <w:b/>
              </w:rPr>
            </w:pPr>
            <w:r w:rsidRPr="003164D9">
              <w:rPr>
                <w:b/>
              </w:rPr>
              <w:t>Position Title:</w:t>
            </w:r>
          </w:p>
          <w:p w14:paraId="140F94E9" w14:textId="77777777" w:rsidR="00E338F1" w:rsidRDefault="00E338F1">
            <w:pPr>
              <w:rPr>
                <w:b/>
              </w:rPr>
            </w:pPr>
          </w:p>
        </w:tc>
        <w:tc>
          <w:tcPr>
            <w:tcW w:w="5508" w:type="dxa"/>
          </w:tcPr>
          <w:p w14:paraId="60EC95F7" w14:textId="77777777" w:rsidR="00E338F1" w:rsidRDefault="00DE3082">
            <w:pPr>
              <w:rPr>
                <w:b/>
              </w:rPr>
            </w:pPr>
            <w:r>
              <w:rPr>
                <w:b/>
              </w:rPr>
              <w:t>Member, Governing Board,</w:t>
            </w:r>
          </w:p>
          <w:p w14:paraId="32A328BA" w14:textId="77777777" w:rsidR="00DE3082" w:rsidRDefault="00DE3082">
            <w:pPr>
              <w:rPr>
                <w:b/>
              </w:rPr>
            </w:pPr>
            <w:r>
              <w:rPr>
                <w:b/>
              </w:rPr>
              <w:t>Member, Audit Committee,</w:t>
            </w:r>
          </w:p>
          <w:p w14:paraId="1747C599" w14:textId="77777777" w:rsidR="00DE3082" w:rsidRDefault="00DE3082">
            <w:pPr>
              <w:rPr>
                <w:b/>
              </w:rPr>
            </w:pPr>
            <w:r>
              <w:rPr>
                <w:b/>
              </w:rPr>
              <w:t>Member, Nominating &amp; Governance Committee,</w:t>
            </w:r>
          </w:p>
          <w:p w14:paraId="34D061D2" w14:textId="082A618D" w:rsidR="00DE3082" w:rsidRDefault="00DE3082">
            <w:pPr>
              <w:rPr>
                <w:b/>
              </w:rPr>
            </w:pPr>
            <w:r>
              <w:rPr>
                <w:b/>
              </w:rPr>
              <w:t>Member, Corporate Strategy Committee</w:t>
            </w:r>
          </w:p>
        </w:tc>
      </w:tr>
      <w:tr w:rsidR="00E338F1" w14:paraId="38CE8427" w14:textId="77777777">
        <w:tc>
          <w:tcPr>
            <w:tcW w:w="3348" w:type="dxa"/>
          </w:tcPr>
          <w:p w14:paraId="3CE9D2A7" w14:textId="77777777" w:rsidR="00E338F1" w:rsidRPr="003164D9" w:rsidRDefault="00E338F1" w:rsidP="00E338F1">
            <w:pPr>
              <w:rPr>
                <w:b/>
              </w:rPr>
            </w:pPr>
            <w:r w:rsidRPr="003164D9">
              <w:rPr>
                <w:b/>
              </w:rPr>
              <w:t>Activity:</w:t>
            </w:r>
          </w:p>
          <w:p w14:paraId="71431D64" w14:textId="77777777" w:rsidR="00E338F1" w:rsidRDefault="00E338F1">
            <w:pPr>
              <w:rPr>
                <w:b/>
              </w:rPr>
            </w:pPr>
          </w:p>
        </w:tc>
        <w:tc>
          <w:tcPr>
            <w:tcW w:w="5508" w:type="dxa"/>
          </w:tcPr>
          <w:p w14:paraId="36CB8588" w14:textId="3FA3BAF8" w:rsidR="00E338F1" w:rsidRDefault="00DE3082">
            <w:pPr>
              <w:rPr>
                <w:b/>
              </w:rPr>
            </w:pPr>
            <w:r>
              <w:rPr>
                <w:b/>
              </w:rPr>
              <w:t>Recent activity / Board Meeting</w:t>
            </w:r>
          </w:p>
        </w:tc>
      </w:tr>
      <w:tr w:rsidR="00E338F1" w14:paraId="5EE74B47" w14:textId="77777777">
        <w:trPr>
          <w:trHeight w:val="260"/>
        </w:trPr>
        <w:tc>
          <w:tcPr>
            <w:tcW w:w="3348" w:type="dxa"/>
          </w:tcPr>
          <w:p w14:paraId="65B0AC86" w14:textId="77777777" w:rsidR="00E338F1" w:rsidRPr="003164D9" w:rsidRDefault="00E338F1" w:rsidP="00E338F1">
            <w:pPr>
              <w:rPr>
                <w:b/>
              </w:rPr>
            </w:pPr>
            <w:r w:rsidRPr="003164D9">
              <w:rPr>
                <w:b/>
              </w:rPr>
              <w:t>Meeting Dates:</w:t>
            </w:r>
          </w:p>
          <w:p w14:paraId="45D78126" w14:textId="77777777" w:rsidR="00E338F1" w:rsidRDefault="00E338F1">
            <w:pPr>
              <w:rPr>
                <w:b/>
              </w:rPr>
            </w:pPr>
          </w:p>
        </w:tc>
        <w:tc>
          <w:tcPr>
            <w:tcW w:w="5508" w:type="dxa"/>
          </w:tcPr>
          <w:p w14:paraId="6899D0E6" w14:textId="77777777" w:rsidR="00DE3082" w:rsidRDefault="00DE3082">
            <w:pPr>
              <w:rPr>
                <w:b/>
              </w:rPr>
            </w:pPr>
            <w:r w:rsidRPr="00DE3082">
              <w:rPr>
                <w:rFonts w:ascii="Calibri" w:hAnsi="Calibri" w:cs="Calibri"/>
                <w:sz w:val="22"/>
                <w:szCs w:val="22"/>
                <w:lang w:eastAsia="en-US"/>
              </w:rPr>
              <w:t>4-5 BOD meetings per year; 3-5 Committee meetings per year</w:t>
            </w:r>
            <w:r>
              <w:rPr>
                <w:b/>
              </w:rPr>
              <w:t xml:space="preserve"> </w:t>
            </w:r>
          </w:p>
          <w:p w14:paraId="77825AEE" w14:textId="5DFF00ED" w:rsidR="00E338F1" w:rsidRDefault="00DE3082">
            <w:pPr>
              <w:rPr>
                <w:b/>
              </w:rPr>
            </w:pPr>
            <w:r>
              <w:rPr>
                <w:b/>
              </w:rPr>
              <w:t>Board Meeting:  10/29/2021 – 10/30/2021</w:t>
            </w:r>
          </w:p>
        </w:tc>
      </w:tr>
      <w:tr w:rsidR="00E338F1" w14:paraId="0D487E16" w14:textId="77777777">
        <w:tc>
          <w:tcPr>
            <w:tcW w:w="3348" w:type="dxa"/>
          </w:tcPr>
          <w:p w14:paraId="6A3FD582" w14:textId="77777777" w:rsidR="00E338F1" w:rsidRPr="003164D9" w:rsidRDefault="00E338F1" w:rsidP="00E338F1">
            <w:pPr>
              <w:rPr>
                <w:b/>
              </w:rPr>
            </w:pPr>
            <w:r w:rsidRPr="003164D9">
              <w:rPr>
                <w:b/>
              </w:rPr>
              <w:t>Meeting Location:</w:t>
            </w:r>
          </w:p>
          <w:p w14:paraId="2DEEB997" w14:textId="77777777" w:rsidR="00E338F1" w:rsidRDefault="00E338F1">
            <w:pPr>
              <w:rPr>
                <w:b/>
              </w:rPr>
            </w:pPr>
          </w:p>
        </w:tc>
        <w:tc>
          <w:tcPr>
            <w:tcW w:w="5508" w:type="dxa"/>
          </w:tcPr>
          <w:p w14:paraId="3A5295C5" w14:textId="18752CCA" w:rsidR="00E338F1" w:rsidRDefault="00DE3082">
            <w:pPr>
              <w:rPr>
                <w:b/>
              </w:rPr>
            </w:pPr>
            <w:r>
              <w:rPr>
                <w:b/>
              </w:rPr>
              <w:t>Annapolis, MD / Virtual</w:t>
            </w:r>
          </w:p>
        </w:tc>
      </w:tr>
      <w:tr w:rsidR="00E338F1" w14:paraId="57B4E72A" w14:textId="77777777">
        <w:tc>
          <w:tcPr>
            <w:tcW w:w="3348" w:type="dxa"/>
          </w:tcPr>
          <w:p w14:paraId="3119CB77" w14:textId="77777777" w:rsidR="00E338F1" w:rsidRPr="003164D9" w:rsidRDefault="00E338F1" w:rsidP="00E338F1">
            <w:pPr>
              <w:rPr>
                <w:b/>
              </w:rPr>
            </w:pPr>
            <w:r w:rsidRPr="003164D9">
              <w:rPr>
                <w:b/>
              </w:rPr>
              <w:t>Payment $:</w:t>
            </w:r>
          </w:p>
          <w:p w14:paraId="459F53EB" w14:textId="77777777" w:rsidR="00E338F1" w:rsidRDefault="00E338F1">
            <w:pPr>
              <w:rPr>
                <w:b/>
              </w:rPr>
            </w:pPr>
          </w:p>
        </w:tc>
        <w:tc>
          <w:tcPr>
            <w:tcW w:w="5508" w:type="dxa"/>
          </w:tcPr>
          <w:p w14:paraId="0C634759" w14:textId="09D2DC70" w:rsidR="00E338F1" w:rsidRDefault="00DE3082">
            <w:pPr>
              <w:rPr>
                <w:b/>
              </w:rPr>
            </w:pPr>
            <w:r>
              <w:rPr>
                <w:b/>
              </w:rPr>
              <w:t>$ 0.00</w:t>
            </w:r>
          </w:p>
        </w:tc>
      </w:tr>
      <w:tr w:rsidR="00E338F1" w14:paraId="3DE37219" w14:textId="77777777">
        <w:tc>
          <w:tcPr>
            <w:tcW w:w="3348" w:type="dxa"/>
          </w:tcPr>
          <w:p w14:paraId="52151B2F" w14:textId="77777777" w:rsidR="00E338F1" w:rsidRPr="003164D9" w:rsidRDefault="00E338F1" w:rsidP="00E338F1">
            <w:pPr>
              <w:rPr>
                <w:b/>
              </w:rPr>
            </w:pPr>
            <w:r w:rsidRPr="003164D9">
              <w:rPr>
                <w:b/>
              </w:rPr>
              <w:t>Reasons for Attending or not Attending</w:t>
            </w:r>
          </w:p>
          <w:p w14:paraId="0EC0CD9E" w14:textId="77777777" w:rsidR="00E338F1" w:rsidRDefault="00E338F1">
            <w:pPr>
              <w:rPr>
                <w:b/>
              </w:rPr>
            </w:pPr>
          </w:p>
        </w:tc>
        <w:tc>
          <w:tcPr>
            <w:tcW w:w="5508" w:type="dxa"/>
          </w:tcPr>
          <w:p w14:paraId="159CDD53" w14:textId="620E524C" w:rsidR="00E338F1" w:rsidRDefault="00DE3082">
            <w:pPr>
              <w:rPr>
                <w:b/>
              </w:rPr>
            </w:pPr>
            <w:r>
              <w:rPr>
                <w:b/>
              </w:rPr>
              <w:t>Attended virtually</w:t>
            </w:r>
          </w:p>
        </w:tc>
      </w:tr>
      <w:tr w:rsidR="00E338F1" w14:paraId="08322F28" w14:textId="77777777">
        <w:tc>
          <w:tcPr>
            <w:tcW w:w="3348" w:type="dxa"/>
          </w:tcPr>
          <w:p w14:paraId="599D04B8" w14:textId="77777777" w:rsidR="00E338F1" w:rsidRPr="003164D9" w:rsidRDefault="00E338F1" w:rsidP="00E338F1">
            <w:pPr>
              <w:rPr>
                <w:b/>
              </w:rPr>
            </w:pPr>
            <w:r w:rsidRPr="003164D9">
              <w:rPr>
                <w:b/>
              </w:rPr>
              <w:t>Issues from Previous Meetings or Year:</w:t>
            </w:r>
          </w:p>
          <w:p w14:paraId="77CAE64D" w14:textId="77777777" w:rsidR="00E338F1" w:rsidRDefault="00E338F1">
            <w:pPr>
              <w:rPr>
                <w:b/>
              </w:rPr>
            </w:pPr>
          </w:p>
        </w:tc>
        <w:tc>
          <w:tcPr>
            <w:tcW w:w="5508" w:type="dxa"/>
          </w:tcPr>
          <w:p w14:paraId="3DF2018C" w14:textId="5F363871" w:rsidR="00E338F1" w:rsidRDefault="00DE3082">
            <w:pPr>
              <w:rPr>
                <w:b/>
              </w:rPr>
            </w:pPr>
            <w:r w:rsidRPr="00DE3082">
              <w:rPr>
                <w:rFonts w:ascii="Calibri" w:hAnsi="Calibri" w:cs="Calibri"/>
                <w:sz w:val="22"/>
                <w:szCs w:val="22"/>
                <w:lang w:eastAsia="en-US"/>
              </w:rPr>
              <w:t>The American Institute of Physics has recently completed a significant milestone of Strategic Planning for the future, with 1) focus on the AIP mission and 2) focus on the value of AIP membership for AIP’s 10 Member Societies. This Strategic Framework sets the stage for AIP’s next 5 years, 2020-2025.</w:t>
            </w:r>
          </w:p>
        </w:tc>
      </w:tr>
      <w:tr w:rsidR="00E338F1" w14:paraId="79D14C49" w14:textId="77777777">
        <w:tc>
          <w:tcPr>
            <w:tcW w:w="3348" w:type="dxa"/>
          </w:tcPr>
          <w:p w14:paraId="0847B61A" w14:textId="77777777" w:rsidR="00E338F1" w:rsidRPr="003164D9" w:rsidRDefault="00E338F1" w:rsidP="00E338F1">
            <w:pPr>
              <w:rPr>
                <w:b/>
              </w:rPr>
            </w:pPr>
            <w:r w:rsidRPr="003164D9">
              <w:rPr>
                <w:b/>
              </w:rPr>
              <w:t>General Description of Activities of the Organization and/or Meeting:</w:t>
            </w:r>
          </w:p>
          <w:p w14:paraId="4221A922" w14:textId="77777777" w:rsidR="00E338F1" w:rsidRDefault="00E338F1">
            <w:pPr>
              <w:rPr>
                <w:b/>
              </w:rPr>
            </w:pPr>
          </w:p>
        </w:tc>
        <w:tc>
          <w:tcPr>
            <w:tcW w:w="5508" w:type="dxa"/>
          </w:tcPr>
          <w:p w14:paraId="20626534" w14:textId="035EDA3F" w:rsidR="00E338F1" w:rsidRPr="00093CAF" w:rsidRDefault="00093CAF" w:rsidP="00093CAF">
            <w:pPr>
              <w:autoSpaceDE w:val="0"/>
              <w:autoSpaceDN w:val="0"/>
              <w:adjustRightInd w:val="0"/>
              <w:rPr>
                <w:rFonts w:ascii="Calibri" w:hAnsi="Calibri" w:cs="Calibri"/>
                <w:sz w:val="22"/>
                <w:szCs w:val="22"/>
                <w:lang w:eastAsia="en-US"/>
              </w:rPr>
            </w:pPr>
            <w:r w:rsidRPr="00093CAF">
              <w:rPr>
                <w:rFonts w:ascii="Calibri" w:hAnsi="Calibri" w:cs="Calibri"/>
                <w:sz w:val="22"/>
                <w:szCs w:val="22"/>
                <w:lang w:eastAsia="en-US"/>
              </w:rPr>
              <w:t>The American Institute of Physics (1932), through its publishing arm, AIP Publishing LLC (2013), publishes high-quality basic physics journals (about 50% of world market) and one magazine (Physics Today). AIP has significant outreach programs and activities, devoted to the advancing the physical sciences.</w:t>
            </w:r>
          </w:p>
        </w:tc>
      </w:tr>
      <w:tr w:rsidR="00E338F1" w14:paraId="277268BF" w14:textId="77777777">
        <w:tc>
          <w:tcPr>
            <w:tcW w:w="3348" w:type="dxa"/>
          </w:tcPr>
          <w:p w14:paraId="6D6888E6" w14:textId="77777777" w:rsidR="00E338F1" w:rsidRPr="003164D9" w:rsidRDefault="00E338F1" w:rsidP="00E338F1">
            <w:pPr>
              <w:rPr>
                <w:b/>
              </w:rPr>
            </w:pPr>
            <w:r w:rsidRPr="003164D9">
              <w:rPr>
                <w:b/>
              </w:rPr>
              <w:t>Issues for AAPM:</w:t>
            </w:r>
          </w:p>
          <w:p w14:paraId="5E58CD79" w14:textId="77777777" w:rsidR="00E338F1" w:rsidRDefault="00E338F1">
            <w:pPr>
              <w:rPr>
                <w:b/>
              </w:rPr>
            </w:pPr>
          </w:p>
        </w:tc>
        <w:tc>
          <w:tcPr>
            <w:tcW w:w="5508" w:type="dxa"/>
          </w:tcPr>
          <w:p w14:paraId="63D6D0E6" w14:textId="77777777" w:rsidR="00E338F1" w:rsidRDefault="003A7B05" w:rsidP="003A7B05">
            <w:pPr>
              <w:pStyle w:val="ListParagraph"/>
              <w:numPr>
                <w:ilvl w:val="0"/>
                <w:numId w:val="2"/>
              </w:numPr>
              <w:rPr>
                <w:bCs/>
              </w:rPr>
            </w:pPr>
            <w:r w:rsidRPr="003A7B05">
              <w:rPr>
                <w:bCs/>
              </w:rPr>
              <w:t>Potential changes in AIP / MS healthcare benefits in 2023.</w:t>
            </w:r>
          </w:p>
          <w:p w14:paraId="0FCF86C8" w14:textId="4048DA8F" w:rsidR="003A7B05" w:rsidRPr="003A7B05" w:rsidRDefault="003A7B05" w:rsidP="003A7B05">
            <w:pPr>
              <w:pStyle w:val="ListParagraph"/>
              <w:numPr>
                <w:ilvl w:val="0"/>
                <w:numId w:val="2"/>
              </w:numPr>
              <w:rPr>
                <w:bCs/>
              </w:rPr>
            </w:pPr>
            <w:r>
              <w:rPr>
                <w:bCs/>
              </w:rPr>
              <w:t>New Federation Officer and office will be working with Member Societies to better define AIP-MS interactions and activities.</w:t>
            </w:r>
          </w:p>
        </w:tc>
      </w:tr>
      <w:tr w:rsidR="00E338F1" w14:paraId="68B79F68" w14:textId="77777777">
        <w:tc>
          <w:tcPr>
            <w:tcW w:w="3348" w:type="dxa"/>
          </w:tcPr>
          <w:p w14:paraId="6B2922CD" w14:textId="77777777" w:rsidR="00E338F1" w:rsidRPr="003164D9" w:rsidRDefault="00E338F1" w:rsidP="00E338F1">
            <w:pPr>
              <w:rPr>
                <w:b/>
              </w:rPr>
            </w:pPr>
            <w:r w:rsidRPr="003164D9">
              <w:rPr>
                <w:b/>
              </w:rPr>
              <w:t>Budget Request ($):</w:t>
            </w:r>
          </w:p>
          <w:p w14:paraId="24291440" w14:textId="77777777" w:rsidR="00E338F1" w:rsidRDefault="00E338F1">
            <w:pPr>
              <w:rPr>
                <w:b/>
              </w:rPr>
            </w:pPr>
          </w:p>
        </w:tc>
        <w:tc>
          <w:tcPr>
            <w:tcW w:w="5508" w:type="dxa"/>
          </w:tcPr>
          <w:p w14:paraId="56FAA5CD" w14:textId="06E71886" w:rsidR="00E338F1" w:rsidRDefault="00093CAF">
            <w:pPr>
              <w:rPr>
                <w:b/>
              </w:rPr>
            </w:pPr>
            <w:r>
              <w:rPr>
                <w:b/>
              </w:rPr>
              <w:t>$ 0.00</w:t>
            </w:r>
          </w:p>
        </w:tc>
      </w:tr>
    </w:tbl>
    <w:p w14:paraId="676B553C" w14:textId="77777777" w:rsidR="003164D9" w:rsidRPr="003164D9" w:rsidRDefault="003164D9">
      <w:pPr>
        <w:rPr>
          <w:b/>
        </w:rPr>
      </w:pPr>
    </w:p>
    <w:p w14:paraId="1BB1D3B0" w14:textId="77777777" w:rsidR="003164D9" w:rsidRPr="003164D9" w:rsidRDefault="003164D9">
      <w:pPr>
        <w:rPr>
          <w:b/>
        </w:rPr>
      </w:pPr>
    </w:p>
    <w:p w14:paraId="7B1ADAC5" w14:textId="77777777" w:rsidR="00093CAF" w:rsidRDefault="00093CAF" w:rsidP="00093CAF">
      <w:pPr>
        <w:rPr>
          <w:b/>
        </w:rPr>
      </w:pPr>
      <w:r>
        <w:rPr>
          <w:b/>
        </w:rPr>
        <w:t>Notes from the recent Board Meeting:</w:t>
      </w:r>
    </w:p>
    <w:p w14:paraId="40DFD941" w14:textId="77777777" w:rsidR="00093CAF" w:rsidRDefault="00093CAF" w:rsidP="00093CAF">
      <w:pPr>
        <w:numPr>
          <w:ilvl w:val="0"/>
          <w:numId w:val="1"/>
        </w:numPr>
        <w:rPr>
          <w:bCs/>
        </w:rPr>
      </w:pPr>
      <w:r>
        <w:rPr>
          <w:bCs/>
        </w:rPr>
        <w:t>Financial:</w:t>
      </w:r>
    </w:p>
    <w:p w14:paraId="1012C834" w14:textId="07657349" w:rsidR="003164D9" w:rsidRDefault="00093CAF" w:rsidP="00093CAF">
      <w:pPr>
        <w:numPr>
          <w:ilvl w:val="1"/>
          <w:numId w:val="1"/>
        </w:numPr>
        <w:rPr>
          <w:bCs/>
        </w:rPr>
      </w:pPr>
      <w:r>
        <w:rPr>
          <w:bCs/>
        </w:rPr>
        <w:t>AIP has generally weathered the pandemic well, with expenses for travel more than offsetting loss of revenue.</w:t>
      </w:r>
    </w:p>
    <w:p w14:paraId="5A046034" w14:textId="179098A7" w:rsidR="003C4A46" w:rsidRDefault="003C4A46" w:rsidP="00093CAF">
      <w:pPr>
        <w:numPr>
          <w:ilvl w:val="1"/>
          <w:numId w:val="1"/>
        </w:numPr>
        <w:rPr>
          <w:bCs/>
        </w:rPr>
      </w:pPr>
      <w:r>
        <w:rPr>
          <w:bCs/>
        </w:rPr>
        <w:t>The Board approved the FY2022 budget, including a 3% merit pool.</w:t>
      </w:r>
    </w:p>
    <w:p w14:paraId="52E5B8AC" w14:textId="5E1186EE" w:rsidR="00093CAF" w:rsidRDefault="00093CAF" w:rsidP="00093CAF">
      <w:pPr>
        <w:numPr>
          <w:ilvl w:val="0"/>
          <w:numId w:val="1"/>
        </w:numPr>
        <w:rPr>
          <w:bCs/>
        </w:rPr>
      </w:pPr>
      <w:r>
        <w:rPr>
          <w:bCs/>
        </w:rPr>
        <w:lastRenderedPageBreak/>
        <w:t>Staffing:</w:t>
      </w:r>
    </w:p>
    <w:p w14:paraId="61725032" w14:textId="5F2F74E3" w:rsidR="00093CAF" w:rsidRDefault="00093CAF" w:rsidP="00093CAF">
      <w:pPr>
        <w:numPr>
          <w:ilvl w:val="1"/>
          <w:numId w:val="1"/>
        </w:numPr>
        <w:rPr>
          <w:bCs/>
        </w:rPr>
      </w:pPr>
      <w:r>
        <w:rPr>
          <w:bCs/>
        </w:rPr>
        <w:t xml:space="preserve">There has been some turnover in senior management positions, mostly </w:t>
      </w:r>
      <w:r w:rsidR="000B00CA">
        <w:rPr>
          <w:bCs/>
        </w:rPr>
        <w:t>for personal reasons.</w:t>
      </w:r>
    </w:p>
    <w:p w14:paraId="3AA40F6B" w14:textId="6D02834F" w:rsidR="000B00CA" w:rsidRDefault="000B00CA" w:rsidP="000B00CA">
      <w:pPr>
        <w:numPr>
          <w:ilvl w:val="2"/>
          <w:numId w:val="1"/>
        </w:numPr>
        <w:rPr>
          <w:bCs/>
        </w:rPr>
      </w:pPr>
      <w:r>
        <w:rPr>
          <w:bCs/>
        </w:rPr>
        <w:t>Dr. Jovanni Spinner has recently joined AIP as Diversity, Equity, &amp; Belonging Officer.  She was previously employed by the FDA.</w:t>
      </w:r>
    </w:p>
    <w:p w14:paraId="14744EBC" w14:textId="79F4F848" w:rsidR="00FD493C" w:rsidRDefault="00FD493C" w:rsidP="000B00CA">
      <w:pPr>
        <w:numPr>
          <w:ilvl w:val="2"/>
          <w:numId w:val="1"/>
        </w:numPr>
        <w:rPr>
          <w:bCs/>
        </w:rPr>
      </w:pPr>
      <w:r>
        <w:rPr>
          <w:bCs/>
        </w:rPr>
        <w:t>Kevin Watkins has been hired as the Chief Federation Officer.</w:t>
      </w:r>
    </w:p>
    <w:p w14:paraId="45E5E368" w14:textId="15EC12ED" w:rsidR="00F868A9" w:rsidRDefault="00F868A9" w:rsidP="000B00CA">
      <w:pPr>
        <w:numPr>
          <w:ilvl w:val="2"/>
          <w:numId w:val="1"/>
        </w:numPr>
        <w:rPr>
          <w:bCs/>
        </w:rPr>
      </w:pPr>
      <w:r>
        <w:rPr>
          <w:bCs/>
        </w:rPr>
        <w:t xml:space="preserve">Scott Montgomery joined AIP as Interim Chief Content Officer, focusing on developing a content strategy for AIP, including </w:t>
      </w:r>
      <w:proofErr w:type="gramStart"/>
      <w:r>
        <w:rPr>
          <w:bCs/>
        </w:rPr>
        <w:t>better  understanding</w:t>
      </w:r>
      <w:proofErr w:type="gramEnd"/>
      <w:r>
        <w:rPr>
          <w:bCs/>
        </w:rPr>
        <w:t xml:space="preserve"> of the audiences AIP is serving / should serve.</w:t>
      </w:r>
    </w:p>
    <w:p w14:paraId="16AFA7B7" w14:textId="1E86EC35" w:rsidR="008101ED" w:rsidRDefault="008101ED" w:rsidP="008101ED">
      <w:pPr>
        <w:numPr>
          <w:ilvl w:val="1"/>
          <w:numId w:val="1"/>
        </w:numPr>
        <w:rPr>
          <w:bCs/>
        </w:rPr>
      </w:pPr>
      <w:r>
        <w:rPr>
          <w:bCs/>
        </w:rPr>
        <w:t>Covid-19</w:t>
      </w:r>
    </w:p>
    <w:p w14:paraId="39207017" w14:textId="683B5768" w:rsidR="008101ED" w:rsidRDefault="008101ED" w:rsidP="008101ED">
      <w:pPr>
        <w:numPr>
          <w:ilvl w:val="2"/>
          <w:numId w:val="1"/>
        </w:numPr>
        <w:rPr>
          <w:bCs/>
        </w:rPr>
      </w:pPr>
      <w:r>
        <w:rPr>
          <w:bCs/>
        </w:rPr>
        <w:t>ACP will remain at a maximum 25% occupancy at least through the end of the year.</w:t>
      </w:r>
    </w:p>
    <w:p w14:paraId="47952405" w14:textId="337D555F" w:rsidR="008101ED" w:rsidRDefault="008101ED" w:rsidP="008101ED">
      <w:pPr>
        <w:numPr>
          <w:ilvl w:val="2"/>
          <w:numId w:val="1"/>
        </w:numPr>
        <w:rPr>
          <w:bCs/>
        </w:rPr>
      </w:pPr>
      <w:r>
        <w:rPr>
          <w:bCs/>
        </w:rPr>
        <w:t>Vaccination will be mandatory for staff, contractors, and visitors to ACP, effective 1/3/2022.</w:t>
      </w:r>
    </w:p>
    <w:p w14:paraId="6A40F4BA" w14:textId="55F52E7B" w:rsidR="008101ED" w:rsidRDefault="008101ED" w:rsidP="008101ED">
      <w:pPr>
        <w:numPr>
          <w:ilvl w:val="2"/>
          <w:numId w:val="1"/>
        </w:numPr>
        <w:rPr>
          <w:bCs/>
        </w:rPr>
      </w:pPr>
      <w:r>
        <w:rPr>
          <w:bCs/>
        </w:rPr>
        <w:t>Vaccination will also be mandatory for all AIP staff, whether remote or on-site</w:t>
      </w:r>
      <w:r w:rsidR="00944E2B">
        <w:rPr>
          <w:bCs/>
        </w:rPr>
        <w:t>, in accordance with CDC guidelines.</w:t>
      </w:r>
    </w:p>
    <w:p w14:paraId="3A050B1C" w14:textId="3DBF49DF" w:rsidR="00944E2B" w:rsidRDefault="00944E2B" w:rsidP="00944E2B">
      <w:pPr>
        <w:numPr>
          <w:ilvl w:val="1"/>
          <w:numId w:val="1"/>
        </w:numPr>
        <w:rPr>
          <w:bCs/>
        </w:rPr>
      </w:pPr>
      <w:r>
        <w:rPr>
          <w:bCs/>
        </w:rPr>
        <w:t>Support of Member Society HR Functions</w:t>
      </w:r>
    </w:p>
    <w:p w14:paraId="6E81BBFD" w14:textId="0675B738" w:rsidR="00944E2B" w:rsidRDefault="00944E2B" w:rsidP="00944E2B">
      <w:pPr>
        <w:numPr>
          <w:ilvl w:val="2"/>
          <w:numId w:val="1"/>
        </w:numPr>
        <w:rPr>
          <w:bCs/>
        </w:rPr>
      </w:pPr>
      <w:r>
        <w:rPr>
          <w:bCs/>
        </w:rPr>
        <w:t>With the increase in hybrid / remote work, changes may be necessary to health</w:t>
      </w:r>
      <w:r w:rsidR="00FD493C">
        <w:rPr>
          <w:bCs/>
        </w:rPr>
        <w:t>care benefits.  AIP has been working with MS and legal counsel; no changes are expected for 2022.</w:t>
      </w:r>
    </w:p>
    <w:p w14:paraId="6F7F9A0F" w14:textId="6DC53DA9" w:rsidR="000B00CA" w:rsidRDefault="000B00CA" w:rsidP="000B00CA">
      <w:pPr>
        <w:numPr>
          <w:ilvl w:val="0"/>
          <w:numId w:val="1"/>
        </w:numPr>
        <w:rPr>
          <w:bCs/>
        </w:rPr>
      </w:pPr>
      <w:r>
        <w:rPr>
          <w:bCs/>
        </w:rPr>
        <w:t>Strategic Plan:</w:t>
      </w:r>
    </w:p>
    <w:p w14:paraId="42DB5BB4" w14:textId="733339CE" w:rsidR="000B00CA" w:rsidRDefault="000B00CA" w:rsidP="000B00CA">
      <w:pPr>
        <w:numPr>
          <w:ilvl w:val="1"/>
          <w:numId w:val="1"/>
        </w:numPr>
        <w:rPr>
          <w:bCs/>
        </w:rPr>
      </w:pPr>
      <w:r>
        <w:rPr>
          <w:bCs/>
        </w:rPr>
        <w:t>Three task groups have been addressing changes in managing a distributed, hybrid workforce.  These groups have looked at what cultural changes have occurred / need to occur, what tools need to be provided to facilitate off-site</w:t>
      </w:r>
      <w:r w:rsidR="008101ED">
        <w:rPr>
          <w:bCs/>
        </w:rPr>
        <w:t xml:space="preserve"> / on-site working relationships, and potential reconfiguration of ACP workspaces.</w:t>
      </w:r>
    </w:p>
    <w:p w14:paraId="0F3D952A" w14:textId="72E5A454" w:rsidR="008101ED" w:rsidRDefault="008101ED" w:rsidP="008101ED">
      <w:pPr>
        <w:numPr>
          <w:ilvl w:val="2"/>
          <w:numId w:val="1"/>
        </w:numPr>
        <w:rPr>
          <w:bCs/>
        </w:rPr>
      </w:pPr>
      <w:r>
        <w:rPr>
          <w:bCs/>
        </w:rPr>
        <w:t>Stipends to remote staff for equipment and internet services</w:t>
      </w:r>
    </w:p>
    <w:p w14:paraId="6EDE2219" w14:textId="49D952BA" w:rsidR="008101ED" w:rsidRDefault="008101ED" w:rsidP="008101ED">
      <w:pPr>
        <w:numPr>
          <w:ilvl w:val="2"/>
          <w:numId w:val="1"/>
        </w:numPr>
        <w:rPr>
          <w:bCs/>
        </w:rPr>
      </w:pPr>
      <w:r>
        <w:rPr>
          <w:bCs/>
        </w:rPr>
        <w:t>Converting some office space to collaboration spaces</w:t>
      </w:r>
    </w:p>
    <w:p w14:paraId="31477A7E" w14:textId="4A658390" w:rsidR="008101ED" w:rsidRDefault="008101ED" w:rsidP="008101ED">
      <w:pPr>
        <w:numPr>
          <w:ilvl w:val="2"/>
          <w:numId w:val="1"/>
        </w:numPr>
        <w:rPr>
          <w:bCs/>
        </w:rPr>
      </w:pPr>
      <w:r>
        <w:rPr>
          <w:bCs/>
        </w:rPr>
        <w:t>Staff training focused on improving hybrid collaborations</w:t>
      </w:r>
    </w:p>
    <w:p w14:paraId="337517E2" w14:textId="36C203D8" w:rsidR="00944E2B" w:rsidRDefault="00944E2B" w:rsidP="00944E2B">
      <w:pPr>
        <w:numPr>
          <w:ilvl w:val="1"/>
          <w:numId w:val="1"/>
        </w:numPr>
        <w:rPr>
          <w:bCs/>
        </w:rPr>
      </w:pPr>
      <w:r>
        <w:rPr>
          <w:bCs/>
        </w:rPr>
        <w:t>Future of ACP:</w:t>
      </w:r>
    </w:p>
    <w:p w14:paraId="4C1A3AA1" w14:textId="5C94F6BC" w:rsidR="00944E2B" w:rsidRDefault="00944E2B" w:rsidP="00944E2B">
      <w:pPr>
        <w:numPr>
          <w:ilvl w:val="2"/>
          <w:numId w:val="1"/>
        </w:numPr>
        <w:rPr>
          <w:bCs/>
        </w:rPr>
      </w:pPr>
      <w:r>
        <w:rPr>
          <w:bCs/>
        </w:rPr>
        <w:t xml:space="preserve">AIP, with APS, is looking at properties in DC for a new flagship facility.  ACP is currently envisioned as remaining in College Park, particularly </w:t>
      </w:r>
      <w:proofErr w:type="gramStart"/>
      <w:r>
        <w:rPr>
          <w:bCs/>
        </w:rPr>
        <w:t>with regard to</w:t>
      </w:r>
      <w:proofErr w:type="gramEnd"/>
      <w:r>
        <w:rPr>
          <w:bCs/>
        </w:rPr>
        <w:t xml:space="preserve"> the N</w:t>
      </w:r>
      <w:r w:rsidR="00FD493C">
        <w:rPr>
          <w:bCs/>
        </w:rPr>
        <w:t>ie</w:t>
      </w:r>
      <w:r>
        <w:rPr>
          <w:bCs/>
        </w:rPr>
        <w:t>ls Bohr Library</w:t>
      </w:r>
      <w:r w:rsidR="00FD493C">
        <w:rPr>
          <w:bCs/>
        </w:rPr>
        <w:t xml:space="preserve"> &amp; Archive</w:t>
      </w:r>
      <w:r>
        <w:rPr>
          <w:bCs/>
        </w:rPr>
        <w:t xml:space="preserve"> (recently, vault space has been expanded and upgraded for housing sensitive collections).</w:t>
      </w:r>
    </w:p>
    <w:p w14:paraId="59CA6D0D" w14:textId="3D3A9320" w:rsidR="00FD493C" w:rsidRDefault="00FD493C" w:rsidP="00FD493C">
      <w:pPr>
        <w:numPr>
          <w:ilvl w:val="1"/>
          <w:numId w:val="1"/>
        </w:numPr>
        <w:rPr>
          <w:bCs/>
        </w:rPr>
      </w:pPr>
      <w:r>
        <w:rPr>
          <w:bCs/>
        </w:rPr>
        <w:t>FYI:</w:t>
      </w:r>
    </w:p>
    <w:p w14:paraId="0B2B1862" w14:textId="65EB0166" w:rsidR="00FD493C" w:rsidRDefault="00FD493C" w:rsidP="00FD493C">
      <w:pPr>
        <w:numPr>
          <w:ilvl w:val="2"/>
          <w:numId w:val="1"/>
        </w:numPr>
        <w:rPr>
          <w:bCs/>
        </w:rPr>
      </w:pPr>
      <w:r>
        <w:rPr>
          <w:bCs/>
        </w:rPr>
        <w:t>The Board heard a presentation on the current success of FYI (news service) and possible new opportunities for expanding / redirecting some of its activities.</w:t>
      </w:r>
    </w:p>
    <w:p w14:paraId="03A1951A" w14:textId="17B9F3AF" w:rsidR="00F868A9" w:rsidRDefault="00F868A9" w:rsidP="00F868A9">
      <w:pPr>
        <w:numPr>
          <w:ilvl w:val="1"/>
          <w:numId w:val="1"/>
        </w:numPr>
        <w:rPr>
          <w:bCs/>
        </w:rPr>
      </w:pPr>
      <w:r>
        <w:rPr>
          <w:bCs/>
        </w:rPr>
        <w:t>AIP Foundation:</w:t>
      </w:r>
    </w:p>
    <w:p w14:paraId="47A73904" w14:textId="46270DF9" w:rsidR="00DD5163" w:rsidRDefault="00DD5163" w:rsidP="00DD5163">
      <w:pPr>
        <w:numPr>
          <w:ilvl w:val="2"/>
          <w:numId w:val="1"/>
        </w:numPr>
        <w:rPr>
          <w:bCs/>
        </w:rPr>
      </w:pPr>
      <w:r>
        <w:rPr>
          <w:bCs/>
        </w:rPr>
        <w:t>The Foundation Giving report showed a strong increase in funding for 2021, though mostly from two large gifts.  AN unrestricted giving option, requested by several potential donors, has been initiated.</w:t>
      </w:r>
    </w:p>
    <w:p w14:paraId="5C26572D" w14:textId="5553BC3C" w:rsidR="00DD5163" w:rsidRPr="00DD5163" w:rsidRDefault="00DD5163" w:rsidP="00DD5163">
      <w:pPr>
        <w:numPr>
          <w:ilvl w:val="2"/>
          <w:numId w:val="1"/>
        </w:numPr>
        <w:rPr>
          <w:bCs/>
        </w:rPr>
      </w:pPr>
      <w:r>
        <w:rPr>
          <w:bCs/>
        </w:rPr>
        <w:t>The AIP board, in the spring, authorized $100k for support of physics and astronomy majors dealing with pandemic hardships.</w:t>
      </w:r>
    </w:p>
    <w:p w14:paraId="53C64FEC" w14:textId="5DD67578" w:rsidR="00F868A9" w:rsidRDefault="00F868A9" w:rsidP="00F868A9">
      <w:pPr>
        <w:numPr>
          <w:ilvl w:val="2"/>
          <w:numId w:val="1"/>
        </w:numPr>
        <w:rPr>
          <w:bCs/>
        </w:rPr>
      </w:pPr>
      <w:r>
        <w:rPr>
          <w:bCs/>
        </w:rPr>
        <w:lastRenderedPageBreak/>
        <w:t>Actively fundraising for TEAM-UP initiatives</w:t>
      </w:r>
      <w:r w:rsidR="003C4A46">
        <w:rPr>
          <w:bCs/>
        </w:rPr>
        <w:t xml:space="preserve"> in response to recommendations from a report received in the spring.</w:t>
      </w:r>
    </w:p>
    <w:p w14:paraId="3CA236C9" w14:textId="343AE577" w:rsidR="00F868A9" w:rsidRDefault="00F868A9" w:rsidP="00F868A9">
      <w:pPr>
        <w:numPr>
          <w:ilvl w:val="2"/>
          <w:numId w:val="1"/>
        </w:numPr>
        <w:rPr>
          <w:bCs/>
        </w:rPr>
      </w:pPr>
      <w:r>
        <w:rPr>
          <w:bCs/>
        </w:rPr>
        <w:t xml:space="preserve">The AIP Venture </w:t>
      </w:r>
      <w:r w:rsidR="00DD5163">
        <w:rPr>
          <w:bCs/>
        </w:rPr>
        <w:t xml:space="preserve">Fund MS Grant program funded nearly $320k in new projects involving all 10 MS.  </w:t>
      </w:r>
    </w:p>
    <w:p w14:paraId="5281DC3F" w14:textId="0354F6CD" w:rsidR="008A40D2" w:rsidRDefault="008A40D2" w:rsidP="008A40D2">
      <w:pPr>
        <w:numPr>
          <w:ilvl w:val="1"/>
          <w:numId w:val="1"/>
        </w:numPr>
        <w:rPr>
          <w:bCs/>
        </w:rPr>
      </w:pPr>
      <w:r>
        <w:rPr>
          <w:bCs/>
        </w:rPr>
        <w:t>TEAM-UP</w:t>
      </w:r>
    </w:p>
    <w:p w14:paraId="6D8CC8F9" w14:textId="233AA214" w:rsidR="008A40D2" w:rsidRDefault="008A40D2" w:rsidP="008A40D2">
      <w:pPr>
        <w:numPr>
          <w:ilvl w:val="2"/>
          <w:numId w:val="1"/>
        </w:numPr>
        <w:rPr>
          <w:bCs/>
        </w:rPr>
      </w:pPr>
      <w:r>
        <w:rPr>
          <w:bCs/>
        </w:rPr>
        <w:t>As noted above, funding initiatives to support the TEAM-UP report are underway.</w:t>
      </w:r>
    </w:p>
    <w:p w14:paraId="1B689729" w14:textId="2C4BB551" w:rsidR="008A40D2" w:rsidRDefault="008A40D2" w:rsidP="008A40D2">
      <w:pPr>
        <w:numPr>
          <w:ilvl w:val="2"/>
          <w:numId w:val="1"/>
        </w:numPr>
        <w:rPr>
          <w:bCs/>
        </w:rPr>
      </w:pPr>
      <w:r>
        <w:rPr>
          <w:bCs/>
        </w:rPr>
        <w:t>A number of institutions have created TEAM-UP teams in response to the initiatives recommended in the report.</w:t>
      </w:r>
    </w:p>
    <w:p w14:paraId="045E81B2" w14:textId="68DE85A2" w:rsidR="00E81449" w:rsidRDefault="00E81449" w:rsidP="00E81449">
      <w:pPr>
        <w:numPr>
          <w:ilvl w:val="0"/>
          <w:numId w:val="1"/>
        </w:numPr>
        <w:rPr>
          <w:bCs/>
        </w:rPr>
      </w:pPr>
      <w:r>
        <w:rPr>
          <w:bCs/>
        </w:rPr>
        <w:t>Governance:</w:t>
      </w:r>
    </w:p>
    <w:p w14:paraId="3BB98266" w14:textId="0A432BFD" w:rsidR="00E81449" w:rsidRDefault="00E81449" w:rsidP="00E81449">
      <w:pPr>
        <w:numPr>
          <w:ilvl w:val="1"/>
          <w:numId w:val="1"/>
        </w:numPr>
        <w:rPr>
          <w:bCs/>
        </w:rPr>
      </w:pPr>
      <w:r>
        <w:rPr>
          <w:bCs/>
        </w:rPr>
        <w:t>AIP undertook a review of its Bylaws (</w:t>
      </w:r>
      <w:proofErr w:type="gramStart"/>
      <w:r>
        <w:rPr>
          <w:bCs/>
        </w:rPr>
        <w:t>5 year</w:t>
      </w:r>
      <w:proofErr w:type="gramEnd"/>
      <w:r>
        <w:rPr>
          <w:bCs/>
        </w:rPr>
        <w:t xml:space="preserve"> cycle).  Generally minor changes (updated Mission statement, updating committee charters) were made.  The updated Bylaws were approved, effective 3/26/2022.</w:t>
      </w:r>
    </w:p>
    <w:p w14:paraId="1C072EBB" w14:textId="6F5DC25D" w:rsidR="00E81449" w:rsidRDefault="00E81449" w:rsidP="00E81449">
      <w:pPr>
        <w:numPr>
          <w:ilvl w:val="2"/>
          <w:numId w:val="1"/>
        </w:numPr>
        <w:rPr>
          <w:bCs/>
        </w:rPr>
      </w:pPr>
      <w:r>
        <w:rPr>
          <w:bCs/>
        </w:rPr>
        <w:t>Changes to the Corporate Affiliate class were also made.</w:t>
      </w:r>
    </w:p>
    <w:p w14:paraId="7AF66484" w14:textId="07656245" w:rsidR="00E81449" w:rsidRPr="00093CAF" w:rsidRDefault="001E2F46" w:rsidP="00E81449">
      <w:pPr>
        <w:numPr>
          <w:ilvl w:val="1"/>
          <w:numId w:val="1"/>
        </w:numPr>
        <w:rPr>
          <w:bCs/>
        </w:rPr>
      </w:pPr>
      <w:r>
        <w:rPr>
          <w:bCs/>
        </w:rPr>
        <w:t>The Audit Committee recommended, and the Board approved a background check policy for all Board officers and the chair of the Audit Committee.</w:t>
      </w:r>
    </w:p>
    <w:p w14:paraId="3B972E62" w14:textId="77777777" w:rsidR="003164D9" w:rsidRPr="003164D9" w:rsidRDefault="003164D9">
      <w:pPr>
        <w:rPr>
          <w:b/>
        </w:rPr>
      </w:pPr>
    </w:p>
    <w:p w14:paraId="31DB47FC" w14:textId="77777777" w:rsidR="003164D9" w:rsidRPr="003164D9" w:rsidRDefault="003164D9">
      <w:pPr>
        <w:rPr>
          <w:b/>
        </w:rPr>
      </w:pPr>
    </w:p>
    <w:p w14:paraId="446554FB" w14:textId="77777777" w:rsidR="003164D9" w:rsidRPr="003164D9" w:rsidRDefault="003164D9">
      <w:pPr>
        <w:rPr>
          <w:b/>
        </w:rPr>
      </w:pPr>
    </w:p>
    <w:p w14:paraId="7E79F121" w14:textId="77777777" w:rsidR="003164D9" w:rsidRPr="003164D9" w:rsidRDefault="003164D9">
      <w:pPr>
        <w:rPr>
          <w:b/>
        </w:rPr>
      </w:pPr>
    </w:p>
    <w:p w14:paraId="272477ED" w14:textId="77777777" w:rsidR="003164D9" w:rsidRPr="003164D9" w:rsidRDefault="003164D9">
      <w:pPr>
        <w:rPr>
          <w:b/>
        </w:rPr>
      </w:pPr>
    </w:p>
    <w:p w14:paraId="3D19792B" w14:textId="77777777" w:rsidR="003164D9" w:rsidRPr="003164D9" w:rsidRDefault="003164D9">
      <w:pPr>
        <w:rPr>
          <w:b/>
        </w:rPr>
      </w:pPr>
    </w:p>
    <w:p w14:paraId="154A37B2" w14:textId="77777777" w:rsidR="003164D9" w:rsidRPr="003164D9" w:rsidRDefault="003164D9">
      <w:pPr>
        <w:rPr>
          <w:b/>
        </w:rPr>
      </w:pPr>
    </w:p>
    <w:p w14:paraId="5B476FAB" w14:textId="77777777" w:rsidR="003164D9" w:rsidRPr="003164D9" w:rsidRDefault="003164D9">
      <w:pPr>
        <w:rPr>
          <w:b/>
        </w:rPr>
      </w:pPr>
    </w:p>
    <w:p w14:paraId="5E93E250"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2058C"/>
    <w:multiLevelType w:val="hybridMultilevel"/>
    <w:tmpl w:val="FB546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47699A"/>
    <w:multiLevelType w:val="hybridMultilevel"/>
    <w:tmpl w:val="19AC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82"/>
    <w:rsid w:val="00093CAF"/>
    <w:rsid w:val="000B00CA"/>
    <w:rsid w:val="00107A31"/>
    <w:rsid w:val="001D3AF5"/>
    <w:rsid w:val="001E2F46"/>
    <w:rsid w:val="003164D9"/>
    <w:rsid w:val="003A7B05"/>
    <w:rsid w:val="003C4A46"/>
    <w:rsid w:val="008101ED"/>
    <w:rsid w:val="008A40D2"/>
    <w:rsid w:val="00944E2B"/>
    <w:rsid w:val="00AE24F9"/>
    <w:rsid w:val="00DD5163"/>
    <w:rsid w:val="00DE3082"/>
    <w:rsid w:val="00E338F1"/>
    <w:rsid w:val="00E81449"/>
    <w:rsid w:val="00F868A9"/>
    <w:rsid w:val="00FD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FFADD"/>
  <w15:chartTrackingRefBased/>
  <w15:docId w15:val="{2D22D596-A0D4-BA4E-8284-959A93B0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curran/Downloads/individu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 (2).dot</Template>
  <TotalTime>53</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Bruce Curran</dc:creator>
  <cp:keywords/>
  <dc:description/>
  <cp:lastModifiedBy>Bruce Curran</cp:lastModifiedBy>
  <cp:revision>3</cp:revision>
  <dcterms:created xsi:type="dcterms:W3CDTF">2021-10-31T13:47:00Z</dcterms:created>
  <dcterms:modified xsi:type="dcterms:W3CDTF">2021-10-31T14:47:00Z</dcterms:modified>
</cp:coreProperties>
</file>