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57"/>
        <w:gridCol w:w="5373"/>
      </w:tblGrid>
      <w:tr w:rsidR="00E338F1" w14:paraId="52F4B58F" w14:textId="77777777">
        <w:tc>
          <w:tcPr>
            <w:tcW w:w="3348" w:type="dxa"/>
          </w:tcPr>
          <w:p w14:paraId="6BA8C488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14:paraId="44887949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2A1C44E" w14:textId="0C31E8CF" w:rsidR="00E338F1" w:rsidRDefault="00793C4D">
            <w:pPr>
              <w:rPr>
                <w:b/>
              </w:rPr>
            </w:pPr>
            <w:r>
              <w:rPr>
                <w:b/>
              </w:rPr>
              <w:t>Yulong Yan, Ph.D.</w:t>
            </w:r>
          </w:p>
        </w:tc>
      </w:tr>
      <w:tr w:rsidR="00793C4D" w14:paraId="6C86ED00" w14:textId="77777777">
        <w:tc>
          <w:tcPr>
            <w:tcW w:w="3348" w:type="dxa"/>
          </w:tcPr>
          <w:p w14:paraId="10E604E5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14:paraId="635685C7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67886A8E" w14:textId="77777777" w:rsidR="00793C4D" w:rsidRPr="00A464E0" w:rsidRDefault="00793C4D" w:rsidP="00793C4D">
            <w:pPr>
              <w:rPr>
                <w:rFonts w:eastAsia="Times New Roman"/>
                <w:lang w:eastAsia="en-US"/>
              </w:rPr>
            </w:pPr>
            <w:r w:rsidRPr="00A464E0">
              <w:rPr>
                <w:rFonts w:eastAsia="Times New Roman"/>
              </w:rPr>
              <w:t>Digital Imaging and Communications in Medicine</w:t>
            </w:r>
          </w:p>
          <w:p w14:paraId="0957132A" w14:textId="77777777" w:rsidR="00793C4D" w:rsidRDefault="00793C4D" w:rsidP="00793C4D">
            <w:pPr>
              <w:rPr>
                <w:b/>
              </w:rPr>
            </w:pPr>
          </w:p>
        </w:tc>
      </w:tr>
      <w:tr w:rsidR="00793C4D" w14:paraId="279C8604" w14:textId="77777777">
        <w:tc>
          <w:tcPr>
            <w:tcW w:w="3348" w:type="dxa"/>
          </w:tcPr>
          <w:p w14:paraId="0F3F026D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14:paraId="7F4CD8F3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776CBC13" w14:textId="77777777" w:rsidR="00793C4D" w:rsidRPr="00A464E0" w:rsidRDefault="00793C4D" w:rsidP="00793C4D">
            <w:pPr>
              <w:rPr>
                <w:rFonts w:eastAsia="Times New Roman"/>
                <w:lang w:eastAsia="en-US"/>
              </w:rPr>
            </w:pPr>
            <w:r w:rsidRPr="00A464E0">
              <w:rPr>
                <w:rFonts w:eastAsia="Times New Roman"/>
              </w:rPr>
              <w:t>WG07 RT Representative</w:t>
            </w:r>
          </w:p>
          <w:p w14:paraId="422BDBD0" w14:textId="77777777" w:rsidR="00793C4D" w:rsidRDefault="00793C4D" w:rsidP="00793C4D">
            <w:pPr>
              <w:rPr>
                <w:b/>
              </w:rPr>
            </w:pPr>
          </w:p>
        </w:tc>
      </w:tr>
      <w:tr w:rsidR="00793C4D" w14:paraId="669D60F0" w14:textId="77777777">
        <w:tc>
          <w:tcPr>
            <w:tcW w:w="3348" w:type="dxa"/>
          </w:tcPr>
          <w:p w14:paraId="3ACE1DEC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14:paraId="105EB1BE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1BD572AF" w14:textId="217813B9" w:rsidR="00793C4D" w:rsidRDefault="00793C4D" w:rsidP="00793C4D">
            <w:pPr>
              <w:rPr>
                <w:b/>
              </w:rPr>
            </w:pPr>
            <w:r w:rsidRPr="00BC273A">
              <w:t xml:space="preserve">WG07 </w:t>
            </w:r>
            <w:r>
              <w:t xml:space="preserve">Virtual </w:t>
            </w:r>
            <w:r w:rsidRPr="00BC273A">
              <w:t>Meeting</w:t>
            </w:r>
            <w:r>
              <w:t xml:space="preserve"> </w:t>
            </w:r>
          </w:p>
        </w:tc>
      </w:tr>
      <w:tr w:rsidR="00793C4D" w14:paraId="3FDDA805" w14:textId="77777777">
        <w:trPr>
          <w:trHeight w:val="260"/>
        </w:trPr>
        <w:tc>
          <w:tcPr>
            <w:tcW w:w="3348" w:type="dxa"/>
          </w:tcPr>
          <w:p w14:paraId="3E9CCE53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14:paraId="20A418A7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5252719E" w14:textId="678A1A79" w:rsidR="004448A2" w:rsidRDefault="0038783C" w:rsidP="00793C4D">
            <w:pPr>
              <w:rPr>
                <w:b/>
              </w:rPr>
            </w:pPr>
            <w:r>
              <w:t xml:space="preserve">8/30/22, </w:t>
            </w:r>
            <w:r>
              <w:t>8/3</w:t>
            </w:r>
            <w:r>
              <w:t>1</w:t>
            </w:r>
            <w:r>
              <w:t>/22,</w:t>
            </w:r>
            <w:r>
              <w:t xml:space="preserve"> 9</w:t>
            </w:r>
            <w:r>
              <w:t>/</w:t>
            </w:r>
            <w:r>
              <w:t>6</w:t>
            </w:r>
            <w:r>
              <w:t>/22,</w:t>
            </w:r>
            <w:r>
              <w:t xml:space="preserve"> </w:t>
            </w:r>
            <w:r>
              <w:t xml:space="preserve"> </w:t>
            </w:r>
            <w:r>
              <w:t>9</w:t>
            </w:r>
            <w:r>
              <w:t>/</w:t>
            </w:r>
            <w:r>
              <w:t>7</w:t>
            </w:r>
            <w:r>
              <w:t>/22</w:t>
            </w:r>
          </w:p>
        </w:tc>
      </w:tr>
      <w:tr w:rsidR="00793C4D" w14:paraId="1EDCF8EA" w14:textId="77777777">
        <w:tc>
          <w:tcPr>
            <w:tcW w:w="3348" w:type="dxa"/>
          </w:tcPr>
          <w:p w14:paraId="358397B1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14:paraId="145F2CE8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224A7E53" w14:textId="331A5DD9" w:rsidR="00793C4D" w:rsidRDefault="00E05F17" w:rsidP="00793C4D">
            <w:pPr>
              <w:rPr>
                <w:b/>
              </w:rPr>
            </w:pPr>
            <w:r>
              <w:rPr>
                <w:b/>
              </w:rPr>
              <w:t>Virtual meeting on Teams</w:t>
            </w:r>
          </w:p>
        </w:tc>
      </w:tr>
      <w:tr w:rsidR="00793C4D" w14:paraId="197A716B" w14:textId="77777777">
        <w:tc>
          <w:tcPr>
            <w:tcW w:w="3348" w:type="dxa"/>
          </w:tcPr>
          <w:p w14:paraId="1E45FCC8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14:paraId="7DFF3AFA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43867D1C" w14:textId="04C19957" w:rsidR="00793C4D" w:rsidRDefault="00793C4D" w:rsidP="00793C4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93C4D" w14:paraId="5E19A96F" w14:textId="77777777">
        <w:tc>
          <w:tcPr>
            <w:tcW w:w="3348" w:type="dxa"/>
          </w:tcPr>
          <w:p w14:paraId="095DCBF9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14:paraId="6E66C87A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70A2B457" w14:textId="77777777" w:rsidR="00E05F17" w:rsidRPr="0038783C" w:rsidRDefault="0038783C" w:rsidP="00371F28">
            <w:pPr>
              <w:numPr>
                <w:ilvl w:val="0"/>
                <w:numId w:val="3"/>
              </w:numPr>
              <w:ind w:left="310"/>
            </w:pPr>
            <w:r>
              <w:rPr>
                <w:color w:val="000000" w:themeColor="text1"/>
              </w:rPr>
              <w:t>Work on CPs</w:t>
            </w:r>
          </w:p>
          <w:p w14:paraId="4300F7B6" w14:textId="77777777" w:rsidR="0038783C" w:rsidRPr="0038783C" w:rsidRDefault="0038783C" w:rsidP="00371F28">
            <w:pPr>
              <w:numPr>
                <w:ilvl w:val="0"/>
                <w:numId w:val="3"/>
              </w:numPr>
              <w:ind w:left="310"/>
            </w:pPr>
            <w:r>
              <w:rPr>
                <w:color w:val="000000" w:themeColor="text1"/>
              </w:rPr>
              <w:t>Hybrid RT Plan</w:t>
            </w:r>
          </w:p>
          <w:p w14:paraId="7825D2EC" w14:textId="7102085E" w:rsidR="0038783C" w:rsidRPr="004448A2" w:rsidRDefault="0038783C" w:rsidP="0038783C">
            <w:pPr>
              <w:numPr>
                <w:ilvl w:val="0"/>
                <w:numId w:val="3"/>
              </w:numPr>
              <w:ind w:left="310"/>
            </w:pPr>
            <w:r>
              <w:rPr>
                <w:color w:val="000000" w:themeColor="text1"/>
              </w:rPr>
              <w:t>IHE Presentation</w:t>
            </w:r>
          </w:p>
        </w:tc>
      </w:tr>
      <w:tr w:rsidR="00793C4D" w14:paraId="43B51D38" w14:textId="77777777">
        <w:tc>
          <w:tcPr>
            <w:tcW w:w="3348" w:type="dxa"/>
          </w:tcPr>
          <w:p w14:paraId="1985F15A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14:paraId="4288BDFF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4A4FCCF7" w14:textId="77777777" w:rsidR="0038783C" w:rsidRDefault="0038783C" w:rsidP="0038783C">
            <w:pPr>
              <w:spacing w:before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Updated reports were presented as needed/available:</w:t>
            </w:r>
          </w:p>
          <w:p w14:paraId="727709C0" w14:textId="77777777" w:rsidR="0038783C" w:rsidRDefault="0038783C" w:rsidP="0038783C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WG-07 Brachytherapy Subgroup - work on plan content continues for IHE-RO TPPC-Brachy Profile</w:t>
            </w:r>
          </w:p>
          <w:p w14:paraId="5BBE0BC6" w14:textId="77777777" w:rsidR="0038783C" w:rsidRDefault="0038783C" w:rsidP="0038783C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WG-07 Ion Subgroup -  IHE-RO TDRC Profile has been accepted for public comment.  Decision not to seek advice regarding inclusion of (X-ray) setup beams in RT Ion Plan and RT Ion Beams Treatment Record.  CP for consideration by WG-07</w:t>
            </w:r>
          </w:p>
          <w:p w14:paraId="24D6A30B" w14:textId="77777777" w:rsidR="0038783C" w:rsidRDefault="0038783C" w:rsidP="0038783C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WG-07 Motion Management Subgroup </w:t>
            </w:r>
          </w:p>
          <w:p w14:paraId="593996FD" w14:textId="77777777" w:rsidR="0038783C" w:rsidRDefault="0038783C" w:rsidP="0038783C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IHE-RO</w:t>
            </w:r>
          </w:p>
          <w:p w14:paraId="11625861" w14:textId="77777777" w:rsidR="0038783C" w:rsidRDefault="0038783C" w:rsidP="0038783C">
            <w:pPr>
              <w:pStyle w:val="ListParagraph"/>
              <w:numPr>
                <w:ilvl w:val="1"/>
                <w:numId w:val="10"/>
              </w:numPr>
              <w:spacing w:line="276" w:lineRule="auto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Discussion of hybrid 1</w:t>
            </w:r>
            <w:r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>/2</w:t>
            </w:r>
            <w:r>
              <w:rPr>
                <w:color w:val="000000" w:themeColor="text1"/>
                <w:vertAlign w:val="superscript"/>
              </w:rPr>
              <w:t>nd</w:t>
            </w:r>
            <w:r>
              <w:rPr>
                <w:color w:val="000000" w:themeColor="text1"/>
              </w:rPr>
              <w:t xml:space="preserve"> Gen RT</w:t>
            </w:r>
          </w:p>
          <w:p w14:paraId="04E54D5F" w14:textId="77777777" w:rsidR="0038783C" w:rsidRDefault="0038783C" w:rsidP="0038783C">
            <w:pPr>
              <w:pStyle w:val="ListParagraph"/>
              <w:numPr>
                <w:ilvl w:val="1"/>
                <w:numId w:val="10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TDOR is out for public comment.</w:t>
            </w:r>
          </w:p>
          <w:p w14:paraId="6BD5D79A" w14:textId="77777777" w:rsidR="0038783C" w:rsidRDefault="0038783C" w:rsidP="0038783C">
            <w:pPr>
              <w:pStyle w:val="ListParagraph"/>
              <w:numPr>
                <w:ilvl w:val="1"/>
                <w:numId w:val="10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 to manage test data in Gazelle</w:t>
            </w:r>
          </w:p>
          <w:p w14:paraId="05BD2197" w14:textId="77777777" w:rsidR="0038783C" w:rsidRDefault="0038783C" w:rsidP="0038783C">
            <w:pPr>
              <w:pStyle w:val="ListParagraph"/>
              <w:numPr>
                <w:ilvl w:val="1"/>
                <w:numId w:val="10"/>
              </w:numPr>
              <w:spacing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Connectathon</w:t>
            </w:r>
            <w:proofErr w:type="spellEnd"/>
            <w:r>
              <w:rPr>
                <w:color w:val="000000" w:themeColor="text1"/>
              </w:rPr>
              <w:t xml:space="preserve"> is scheduled for November 2022.</w:t>
            </w:r>
          </w:p>
          <w:p w14:paraId="43BE4E09" w14:textId="77777777" w:rsidR="0038783C" w:rsidRDefault="0038783C" w:rsidP="0038783C">
            <w:pPr>
              <w:pStyle w:val="ListParagraph"/>
              <w:numPr>
                <w:ilvl w:val="1"/>
                <w:numId w:val="10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Consistent dose (dose tracking, dose reference) and prescription module was discussed.</w:t>
            </w:r>
          </w:p>
          <w:p w14:paraId="76C4813D" w14:textId="77777777" w:rsidR="0038783C" w:rsidRDefault="0038783C" w:rsidP="0038783C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IEC – Jim Percy reported on IEC activities</w:t>
            </w:r>
          </w:p>
          <w:p w14:paraId="6B9EF66C" w14:textId="77777777" w:rsidR="0038783C" w:rsidRDefault="0038783C" w:rsidP="0038783C">
            <w:pPr>
              <w:pStyle w:val="ListParagraph"/>
              <w:numPr>
                <w:ilvl w:val="1"/>
                <w:numId w:val="10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Upcoming IEC meeting in San Francisco in Nov 2022</w:t>
            </w:r>
          </w:p>
          <w:p w14:paraId="4C60716A" w14:textId="77777777" w:rsidR="0038783C" w:rsidRDefault="0038783C" w:rsidP="0038783C">
            <w:pPr>
              <w:pStyle w:val="ListParagraph"/>
              <w:numPr>
                <w:ilvl w:val="1"/>
                <w:numId w:val="10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IEC 62274 R&amp;V standard  62274 – need to decide whether to revise or replace </w:t>
            </w:r>
          </w:p>
          <w:p w14:paraId="2AEBC3CE" w14:textId="77777777" w:rsidR="0038783C" w:rsidRDefault="0038783C" w:rsidP="0038783C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WG-28 – September 14-16, </w:t>
            </w:r>
            <w:proofErr w:type="gramStart"/>
            <w:r>
              <w:rPr>
                <w:color w:val="000000" w:themeColor="text1"/>
              </w:rPr>
              <w:t>2022</w:t>
            </w:r>
            <w:proofErr w:type="gramEnd"/>
            <w:r>
              <w:rPr>
                <w:color w:val="000000" w:themeColor="text1"/>
              </w:rPr>
              <w:t xml:space="preserve"> meeting in Trento, Italy (Bruce Curran to attend virtually)</w:t>
            </w:r>
          </w:p>
          <w:p w14:paraId="31C37693" w14:textId="77777777" w:rsidR="0038783C" w:rsidRDefault="0038783C" w:rsidP="0038783C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Other Subgroup reports as needed.</w:t>
            </w:r>
          </w:p>
          <w:p w14:paraId="12EDB13D" w14:textId="7A5C7166" w:rsidR="00793C4D" w:rsidRPr="0038783C" w:rsidRDefault="00793C4D" w:rsidP="0038783C">
            <w:pPr>
              <w:spacing w:line="259" w:lineRule="auto"/>
              <w:rPr>
                <w:b/>
              </w:rPr>
            </w:pPr>
          </w:p>
        </w:tc>
      </w:tr>
      <w:tr w:rsidR="00793C4D" w14:paraId="66A1833D" w14:textId="77777777">
        <w:tc>
          <w:tcPr>
            <w:tcW w:w="3348" w:type="dxa"/>
          </w:tcPr>
          <w:p w14:paraId="162EBFB1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lastRenderedPageBreak/>
              <w:t>General Description of Activities of the Organization and/or Meeting:</w:t>
            </w:r>
          </w:p>
          <w:p w14:paraId="1A7CB4AE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45C8E52F" w14:textId="77777777" w:rsidR="00A83909" w:rsidRDefault="00A83909" w:rsidP="00A83909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Ion Subgroup</w:t>
            </w:r>
          </w:p>
          <w:p w14:paraId="470D158A" w14:textId="574B97C7" w:rsidR="00A83909" w:rsidRDefault="00A83909" w:rsidP="00A83909">
            <w:pPr>
              <w:tabs>
                <w:tab w:val="left" w:pos="851"/>
              </w:tabs>
            </w:pPr>
            <w:r>
              <w:t>D</w:t>
            </w:r>
            <w:r>
              <w:t>i</w:t>
            </w:r>
            <w:r>
              <w:t>screpancy between setup beam imaging and recording.</w:t>
            </w:r>
          </w:p>
          <w:p w14:paraId="5C002453" w14:textId="77777777" w:rsidR="00A83909" w:rsidRDefault="00A83909" w:rsidP="00A83909">
            <w:pPr>
              <w:pStyle w:val="ListParagraph"/>
              <w:numPr>
                <w:ilvl w:val="0"/>
                <w:numId w:val="11"/>
              </w:numPr>
              <w:tabs>
                <w:tab w:val="left" w:pos="851"/>
              </w:tabs>
              <w:spacing w:before="0" w:line="276" w:lineRule="auto"/>
              <w:rPr>
                <w:b/>
                <w:bCs/>
              </w:rPr>
            </w:pPr>
            <w:r>
              <w:t>The RT Ion Beams Treatment Record records only treatment delivery parameters from the delivery machine, not the imaging device.</w:t>
            </w:r>
          </w:p>
          <w:p w14:paraId="0C7E7227" w14:textId="77777777" w:rsidR="00A83909" w:rsidRDefault="00A83909" w:rsidP="00A83909">
            <w:pPr>
              <w:pStyle w:val="ListParagraph"/>
              <w:numPr>
                <w:ilvl w:val="0"/>
                <w:numId w:val="11"/>
              </w:numPr>
              <w:tabs>
                <w:tab w:val="left" w:pos="851"/>
              </w:tabs>
              <w:spacing w:before="0" w:line="276" w:lineRule="auto"/>
              <w:rPr>
                <w:b/>
                <w:bCs/>
              </w:rPr>
            </w:pPr>
            <w:r>
              <w:t xml:space="preserve">Philosophical question regarding the use and content of setup beams.  Setup beams were not designed to convey imaging parameters.  Imaging parameters are volatile, I.e., may change from day to day.  </w:t>
            </w:r>
            <w:r>
              <w:rPr>
                <w:lang w:val="de-DE"/>
              </w:rPr>
              <w:t>Supp 213 addresses this need.</w:t>
            </w:r>
          </w:p>
          <w:p w14:paraId="69EDE828" w14:textId="77777777" w:rsidR="00A83909" w:rsidRDefault="00A83909" w:rsidP="00A83909">
            <w:pPr>
              <w:pStyle w:val="ListParagraph"/>
              <w:numPr>
                <w:ilvl w:val="0"/>
                <w:numId w:val="11"/>
              </w:numPr>
              <w:tabs>
                <w:tab w:val="left" w:pos="851"/>
              </w:tabs>
              <w:spacing w:before="0" w:line="276" w:lineRule="auto"/>
              <w:rPr>
                <w:b/>
                <w:bCs/>
              </w:rPr>
            </w:pPr>
            <w:r>
              <w:t xml:space="preserve">Use cases for recording setup imaging were discussed.  </w:t>
            </w:r>
          </w:p>
          <w:p w14:paraId="66F023E4" w14:textId="77777777" w:rsidR="00A83909" w:rsidRDefault="00A83909" w:rsidP="00A83909">
            <w:pPr>
              <w:pStyle w:val="ListParagraph"/>
              <w:numPr>
                <w:ilvl w:val="1"/>
                <w:numId w:val="11"/>
              </w:numPr>
              <w:tabs>
                <w:tab w:val="left" w:pos="851"/>
              </w:tabs>
              <w:spacing w:before="0" w:line="276" w:lineRule="auto"/>
              <w:rPr>
                <w:b/>
                <w:bCs/>
              </w:rPr>
            </w:pPr>
            <w:r>
              <w:t>Actual repositioning information (patient shifts) are not recorded.</w:t>
            </w:r>
          </w:p>
          <w:p w14:paraId="259DC81B" w14:textId="77777777" w:rsidR="00A83909" w:rsidRDefault="00A83909" w:rsidP="00A83909">
            <w:pPr>
              <w:pStyle w:val="ListParagraph"/>
              <w:numPr>
                <w:ilvl w:val="1"/>
                <w:numId w:val="11"/>
              </w:numPr>
              <w:tabs>
                <w:tab w:val="left" w:pos="851"/>
              </w:tabs>
              <w:spacing w:before="0" w:line="276" w:lineRule="auto"/>
              <w:rPr>
                <w:b/>
                <w:bCs/>
              </w:rPr>
            </w:pPr>
            <w:r>
              <w:t xml:space="preserve">Imaging and position may not be directly tied to a treatment beam.  </w:t>
            </w:r>
          </w:p>
          <w:p w14:paraId="31128B53" w14:textId="77777777" w:rsidR="00A83909" w:rsidRDefault="00A83909" w:rsidP="00A83909">
            <w:pPr>
              <w:pStyle w:val="ListParagraph"/>
              <w:numPr>
                <w:ilvl w:val="1"/>
                <w:numId w:val="11"/>
              </w:numPr>
              <w:tabs>
                <w:tab w:val="left" w:pos="851"/>
              </w:tabs>
              <w:spacing w:before="0" w:line="276" w:lineRule="auto"/>
              <w:rPr>
                <w:b/>
                <w:bCs/>
              </w:rPr>
            </w:pPr>
            <w:r>
              <w:t>The BDI conveys table movement instructions.  However, this is not a record of actual table movements.</w:t>
            </w:r>
          </w:p>
          <w:p w14:paraId="2F77CEFD" w14:textId="77777777" w:rsidR="00A83909" w:rsidRDefault="00A83909" w:rsidP="00A83909">
            <w:pPr>
              <w:pStyle w:val="ListParagraph"/>
              <w:numPr>
                <w:ilvl w:val="1"/>
                <w:numId w:val="11"/>
              </w:numPr>
              <w:tabs>
                <w:tab w:val="left" w:pos="851"/>
              </w:tabs>
              <w:spacing w:before="0" w:line="276" w:lineRule="auto"/>
              <w:rPr>
                <w:b/>
                <w:bCs/>
              </w:rPr>
            </w:pPr>
            <w:r>
              <w:t>The DICOM treatment record records the table position at the start of beam delivery.  DICOM does not currently support (continuous) recording of positioning events.</w:t>
            </w:r>
          </w:p>
          <w:p w14:paraId="224C7F9A" w14:textId="77777777" w:rsidR="00A83909" w:rsidRDefault="00A83909" w:rsidP="00A83909">
            <w:pPr>
              <w:pStyle w:val="ListParagraph"/>
              <w:numPr>
                <w:ilvl w:val="0"/>
                <w:numId w:val="11"/>
              </w:numPr>
              <w:tabs>
                <w:tab w:val="left" w:pos="851"/>
              </w:tabs>
              <w:spacing w:before="0" w:line="276" w:lineRule="auto"/>
            </w:pPr>
            <w:r>
              <w:t xml:space="preserve">Further discussion of using the treatment record to record setup information.  </w:t>
            </w:r>
          </w:p>
          <w:p w14:paraId="6BC7F98E" w14:textId="77777777" w:rsidR="00A83909" w:rsidRDefault="00A83909" w:rsidP="00A83909">
            <w:pPr>
              <w:pStyle w:val="ListParagraph"/>
              <w:numPr>
                <w:ilvl w:val="1"/>
                <w:numId w:val="11"/>
              </w:numPr>
              <w:tabs>
                <w:tab w:val="left" w:pos="851"/>
              </w:tabs>
              <w:spacing w:before="0" w:line="276" w:lineRule="auto"/>
            </w:pPr>
            <w:r>
              <w:t>It is important to distinguish between recording of beam delivery and recording of setup events.</w:t>
            </w:r>
          </w:p>
          <w:p w14:paraId="71BDA8C8" w14:textId="77777777" w:rsidR="00A83909" w:rsidRDefault="00A83909" w:rsidP="00A83909">
            <w:pPr>
              <w:pStyle w:val="ListParagraph"/>
              <w:numPr>
                <w:ilvl w:val="1"/>
                <w:numId w:val="11"/>
              </w:numPr>
              <w:tabs>
                <w:tab w:val="left" w:pos="851"/>
              </w:tabs>
              <w:spacing w:before="0" w:line="276" w:lineRule="auto"/>
            </w:pPr>
            <w:r>
              <w:t>Extending the RT (Ion) Beams Treatment Record (new Module?) to record setup (and other) events was discussed.</w:t>
            </w:r>
          </w:p>
          <w:p w14:paraId="1400E596" w14:textId="0A0A8317" w:rsidR="00A83909" w:rsidRDefault="00A83909" w:rsidP="00A83909">
            <w:pPr>
              <w:pStyle w:val="ListParagraph"/>
              <w:numPr>
                <w:ilvl w:val="1"/>
                <w:numId w:val="11"/>
              </w:numPr>
              <w:tabs>
                <w:tab w:val="left" w:pos="851"/>
              </w:tabs>
              <w:spacing w:before="0" w:line="276" w:lineRule="auto"/>
            </w:pPr>
            <w:r>
              <w:rPr>
                <w:highlight w:val="yellow"/>
              </w:rPr>
              <w:t>Action</w:t>
            </w:r>
            <w:r>
              <w:t>: Bruce and David (and any others) to draft requirements for Session Events Capture for discussion Sept 6-7. Document in Teams / Discussions / Session Events Capture</w:t>
            </w:r>
          </w:p>
          <w:p w14:paraId="3E97FCAF" w14:textId="77777777" w:rsidR="00A83909" w:rsidRDefault="00A83909" w:rsidP="00A83909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lastRenderedPageBreak/>
              <w:t>cp_RT215 RT ROI Interpreted Type Clean Up</w:t>
            </w:r>
          </w:p>
          <w:p w14:paraId="67C59765" w14:textId="77777777" w:rsidR="00A83909" w:rsidRDefault="00A83909" w:rsidP="00A83909">
            <w:pPr>
              <w:tabs>
                <w:tab w:val="left" w:pos="851"/>
              </w:tabs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Clean up of CP 2182 – could also be done via CP RT 216.  Removes outdated text referencing ROI Observation Label.  </w:t>
            </w:r>
            <w:r>
              <w:rPr>
                <w:rFonts w:ascii="Calibri" w:eastAsia="Calibri" w:hAnsi="Calibri" w:cs="Calibri"/>
                <w:highlight w:val="yellow"/>
              </w:rPr>
              <w:t>Decision:</w:t>
            </w:r>
            <w:r>
              <w:rPr>
                <w:rFonts w:ascii="Calibri" w:eastAsia="Calibri" w:hAnsi="Calibri" w:cs="Calibri"/>
              </w:rPr>
              <w:t xml:space="preserve"> Accepted for reading with WG-06.</w:t>
            </w:r>
          </w:p>
          <w:p w14:paraId="5053BC02" w14:textId="06CE37FE" w:rsidR="00A83909" w:rsidRDefault="00A83909" w:rsidP="00A83909">
            <w:pPr>
              <w:tabs>
                <w:tab w:val="left" w:pos="851"/>
              </w:tabs>
              <w:spacing w:line="276" w:lineRule="auto"/>
            </w:pPr>
          </w:p>
          <w:p w14:paraId="0649FC42" w14:textId="77777777" w:rsidR="00A83909" w:rsidRDefault="00A83909" w:rsidP="00A83909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cp_RT216 Extend RT Structure Set Definition</w:t>
            </w:r>
          </w:p>
          <w:p w14:paraId="5F5F1477" w14:textId="77777777" w:rsidR="00A83909" w:rsidRDefault="00A83909" w:rsidP="00A83909">
            <w:pPr>
              <w:tabs>
                <w:tab w:val="left" w:pos="851"/>
              </w:tabs>
              <w:rPr>
                <w:lang w:val="de-DE"/>
              </w:rPr>
            </w:pPr>
            <w:r>
              <w:rPr>
                <w:rFonts w:ascii="Calibri" w:eastAsia="Calibri" w:hAnsi="Calibri" w:cs="Calibri"/>
              </w:rPr>
              <w:t xml:space="preserve">Proposal based on the discussions for an extension of ROI meta information. Requires input from WG-07 and thus more work.  </w:t>
            </w:r>
          </w:p>
          <w:p w14:paraId="3046B0E4" w14:textId="77777777" w:rsidR="00A83909" w:rsidRDefault="00A83909" w:rsidP="00A83909">
            <w:pPr>
              <w:tabs>
                <w:tab w:val="left" w:pos="851"/>
              </w:tabs>
              <w:spacing w:line="276" w:lineRule="auto"/>
            </w:pPr>
          </w:p>
          <w:p w14:paraId="73FB9DEB" w14:textId="77777777" w:rsidR="00A83909" w:rsidRDefault="00A83909" w:rsidP="00A83909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cp_RT217 Add Gen 2 Termination Codes to Gen 1 Treatment Records</w:t>
            </w:r>
          </w:p>
          <w:p w14:paraId="16E62A53" w14:textId="77777777" w:rsidR="00A83909" w:rsidRDefault="00A83909" w:rsidP="00A83909">
            <w:pPr>
              <w:tabs>
                <w:tab w:val="left" w:pos="85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Bruce Rakes presented a CP drafted by the Ion subgroup.</w:t>
            </w:r>
          </w:p>
          <w:p w14:paraId="16F25FA3" w14:textId="77777777" w:rsidR="00A83909" w:rsidRDefault="00A83909" w:rsidP="00A83909">
            <w:pPr>
              <w:tabs>
                <w:tab w:val="left" w:pos="85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Treatment Termination Code (3008,002B) has a VR of SH, but has no real meaning.</w:t>
            </w:r>
          </w:p>
          <w:p w14:paraId="4922615D" w14:textId="77777777" w:rsidR="00793C4D" w:rsidRDefault="00793C4D" w:rsidP="00A83909"/>
          <w:p w14:paraId="622575E6" w14:textId="77777777" w:rsidR="00A83909" w:rsidRDefault="00A83909" w:rsidP="00A83909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CP-RT214 4D Imaging Support</w:t>
            </w:r>
          </w:p>
          <w:p w14:paraId="5228ECC5" w14:textId="77777777" w:rsidR="00A83909" w:rsidRDefault="00A83909" w:rsidP="00A83909">
            <w:r>
              <w:rPr>
                <w:rFonts w:ascii="Calibri" w:eastAsia="Calibri" w:hAnsi="Calibri" w:cs="Calibri"/>
              </w:rPr>
              <w:t>Work continues.</w:t>
            </w:r>
          </w:p>
          <w:p w14:paraId="071010D8" w14:textId="77777777" w:rsidR="00A83909" w:rsidRDefault="00A83909" w:rsidP="00A839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Kari reported on discussions with Till Hoenig (WG-21).  Several options for including Respiratory Phase information were discussed.</w:t>
            </w:r>
          </w:p>
          <w:p w14:paraId="0E62E8B1" w14:textId="493DE918" w:rsidR="00A83909" w:rsidRDefault="00A83909" w:rsidP="00A839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Minimum requirements for RT are (a) a way to combine instances for one phase together and (b) an Index to relate the order of phases.</w:t>
            </w:r>
          </w:p>
          <w:p w14:paraId="6724202C" w14:textId="6FF32BBF" w:rsidR="00A83909" w:rsidRDefault="00A83909" w:rsidP="00A83909">
            <w:pPr>
              <w:rPr>
                <w:rFonts w:ascii="Calibri" w:eastAsia="Calibri" w:hAnsi="Calibri" w:cs="Calibri"/>
              </w:rPr>
            </w:pPr>
          </w:p>
          <w:p w14:paraId="45678490" w14:textId="77777777" w:rsidR="00A83909" w:rsidRDefault="00A83909" w:rsidP="00A83909">
            <w:pPr>
              <w:pStyle w:val="Heading2"/>
              <w:tabs>
                <w:tab w:val="left" w:pos="851"/>
              </w:tabs>
              <w:spacing w:before="160"/>
              <w:ind w:left="851" w:hanging="851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CPs with WG-06</w:t>
            </w:r>
          </w:p>
          <w:p w14:paraId="2F55726A" w14:textId="77777777" w:rsidR="00A83909" w:rsidRDefault="00A83909" w:rsidP="00A8390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CP-2185 Extend use of Treatment Session UID</w:t>
            </w:r>
          </w:p>
          <w:p w14:paraId="7C1307C6" w14:textId="37BFCE96" w:rsidR="00A83909" w:rsidRDefault="00A83909" w:rsidP="00A839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Rework based on Tx Session UID should not reside in Study Module.  </w:t>
            </w:r>
          </w:p>
          <w:p w14:paraId="546512BA" w14:textId="77777777" w:rsidR="00A83909" w:rsidRDefault="00A83909" w:rsidP="00A83909">
            <w:pPr>
              <w:rPr>
                <w:rFonts w:ascii="Calibri" w:eastAsia="Calibri" w:hAnsi="Calibri" w:cs="Calibri"/>
              </w:rPr>
            </w:pPr>
          </w:p>
          <w:p w14:paraId="35E2A204" w14:textId="77777777" w:rsidR="00A83909" w:rsidRDefault="00A83909" w:rsidP="00A83909">
            <w:pPr>
              <w:pStyle w:val="TableEntry"/>
              <w:spacing w:after="100"/>
              <w:rPr>
                <w:rFonts w:eastAsia="Helvetica" w:cs="Helvetica"/>
                <w:b/>
                <w:bCs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 xml:space="preserve">CP-2203 </w:t>
            </w:r>
            <w:r>
              <w:rPr>
                <w:rFonts w:eastAsia="Helvetica" w:cs="Helvetica"/>
                <w:b/>
                <w:bCs/>
                <w:u w:val="single"/>
              </w:rPr>
              <w:t>Add References between 1st and 2nd Gen Rad IODs</w:t>
            </w:r>
          </w:p>
          <w:p w14:paraId="526E5263" w14:textId="2C9A1686" w:rsidR="00A83909" w:rsidRDefault="00A83909" w:rsidP="00A8390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Uli</w:t>
            </w:r>
            <w:proofErr w:type="spellEnd"/>
            <w:r>
              <w:rPr>
                <w:rFonts w:ascii="Calibri" w:eastAsia="Calibri" w:hAnsi="Calibri" w:cs="Calibri"/>
              </w:rPr>
              <w:t xml:space="preserve"> reviewed comments received for this CP, currently in letter ballot.</w:t>
            </w:r>
          </w:p>
          <w:p w14:paraId="2E5EE806" w14:textId="77777777" w:rsidR="00A83909" w:rsidRDefault="00A83909" w:rsidP="00A8390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C788C9" w14:textId="77777777" w:rsidR="00A83909" w:rsidRDefault="00A83909" w:rsidP="00A83909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CP-2220 Differentiate Geometric Types of CT Imaging Sources</w:t>
            </w:r>
          </w:p>
          <w:p w14:paraId="6CD766ED" w14:textId="77777777" w:rsidR="00A83909" w:rsidRDefault="00A83909" w:rsidP="00A83909">
            <w:r>
              <w:rPr>
                <w:rFonts w:ascii="Calibri" w:eastAsia="Calibri" w:hAnsi="Calibri" w:cs="Calibri"/>
              </w:rPr>
              <w:t>State? Will WG-2/21 look at this?</w:t>
            </w:r>
          </w:p>
          <w:p w14:paraId="1E947F1F" w14:textId="09F803C0" w:rsidR="00A83909" w:rsidRDefault="00A83909" w:rsidP="00A839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Shayna will make sure CP-2220 is on the agenda for the next WG-21 meeting.</w:t>
            </w:r>
          </w:p>
          <w:p w14:paraId="0AB4A0DD" w14:textId="4E8BF608" w:rsidR="00A83909" w:rsidRDefault="00A83909" w:rsidP="00A83909">
            <w:pPr>
              <w:rPr>
                <w:rFonts w:ascii="Calibri" w:eastAsia="Calibri" w:hAnsi="Calibri" w:cs="Calibri"/>
              </w:rPr>
            </w:pPr>
          </w:p>
          <w:p w14:paraId="2879FA6F" w14:textId="77777777" w:rsidR="00A83909" w:rsidRDefault="00A83909" w:rsidP="00A83909">
            <w:pPr>
              <w:pStyle w:val="Heading1"/>
              <w:spacing w:before="6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Hybrid Discussions Overview</w:t>
            </w:r>
          </w:p>
          <w:p w14:paraId="6A8937AF" w14:textId="77777777" w:rsidR="00A83909" w:rsidRDefault="00A83909" w:rsidP="00A83909">
            <w:pPr>
              <w:pStyle w:val="Heading1"/>
              <w:tabs>
                <w:tab w:val="left" w:pos="567"/>
              </w:tabs>
              <w:spacing w:before="160"/>
              <w:ind w:left="567" w:hanging="567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RT Plan</w:t>
            </w:r>
          </w:p>
          <w:p w14:paraId="2D2A19BB" w14:textId="77777777" w:rsidR="00A83909" w:rsidRDefault="00A83909" w:rsidP="00A8390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t>CP on reference 1</w:t>
            </w:r>
            <w:r>
              <w:rPr>
                <w:vertAlign w:val="superscript"/>
              </w:rPr>
              <w:t>st</w:t>
            </w:r>
            <w:r>
              <w:t xml:space="preserve"> &lt;--&gt; 2</w:t>
            </w:r>
            <w:r>
              <w:rPr>
                <w:vertAlign w:val="superscript"/>
              </w:rPr>
              <w:t>nd</w:t>
            </w:r>
            <w:r>
              <w:t xml:space="preserve"> Gen (2203)</w:t>
            </w:r>
          </w:p>
          <w:p w14:paraId="4329D6A7" w14:textId="77777777" w:rsidR="00A83909" w:rsidRDefault="00A83909" w:rsidP="00A83909">
            <w:r>
              <w:t>CP on introducing the new BLD macro in the 1</w:t>
            </w:r>
            <w:r>
              <w:rPr>
                <w:vertAlign w:val="superscript"/>
              </w:rPr>
              <w:t>st</w:t>
            </w:r>
            <w:r>
              <w:t xml:space="preserve"> Gen (2229)</w:t>
            </w:r>
          </w:p>
          <w:p w14:paraId="371C9597" w14:textId="77777777" w:rsidR="00A83909" w:rsidRDefault="00A83909" w:rsidP="00A83909">
            <w:r>
              <w:t xml:space="preserve">Hybrid Plan document – </w:t>
            </w:r>
            <w:proofErr w:type="spellStart"/>
            <w:r>
              <w:t>Uli</w:t>
            </w:r>
            <w:proofErr w:type="spellEnd"/>
          </w:p>
          <w:p w14:paraId="5EA3A249" w14:textId="77777777" w:rsidR="00A83909" w:rsidRDefault="00A83909" w:rsidP="00A83909">
            <w:pPr>
              <w:pStyle w:val="ListParagraph"/>
              <w:numPr>
                <w:ilvl w:val="0"/>
                <w:numId w:val="12"/>
              </w:numPr>
              <w:spacing w:before="0" w:line="276" w:lineRule="auto"/>
            </w:pPr>
            <w:r>
              <w:t>Renaming RT Prescription to RT Dose Reference/Tracking</w:t>
            </w:r>
          </w:p>
          <w:p w14:paraId="4695C1F5" w14:textId="77777777" w:rsidR="00A83909" w:rsidRDefault="00A83909" w:rsidP="00A83909">
            <w:pPr>
              <w:pStyle w:val="ListParagraph"/>
              <w:numPr>
                <w:ilvl w:val="0"/>
                <w:numId w:val="12"/>
              </w:numPr>
              <w:spacing w:before="0" w:line="276" w:lineRule="auto"/>
            </w:pPr>
            <w:r>
              <w:t>New Module called RT Prescription Overview containing all “prescription items” and to address IEC requirements and adding a reference to an RT Physician Intent Instance.</w:t>
            </w:r>
          </w:p>
          <w:p w14:paraId="7A3E9C02" w14:textId="77777777" w:rsidR="00A83909" w:rsidRDefault="00A83909" w:rsidP="00A83909"/>
          <w:p w14:paraId="4EF3E7EB" w14:textId="77777777" w:rsidR="00A83909" w:rsidRDefault="00A83909" w:rsidP="00A83909">
            <w:r>
              <w:t>Topics for this meeting</w:t>
            </w:r>
          </w:p>
          <w:p w14:paraId="7E15117C" w14:textId="77777777" w:rsidR="00A83909" w:rsidRDefault="00A83909" w:rsidP="00A83909">
            <w:pPr>
              <w:pStyle w:val="ListParagraph"/>
              <w:numPr>
                <w:ilvl w:val="0"/>
                <w:numId w:val="13"/>
              </w:numPr>
              <w:spacing w:before="0" w:line="276" w:lineRule="auto"/>
            </w:pPr>
            <w:r>
              <w:t>Discuss introducing Tomo in 1</w:t>
            </w:r>
            <w:r>
              <w:rPr>
                <w:vertAlign w:val="superscript"/>
              </w:rPr>
              <w:t>st</w:t>
            </w:r>
            <w:r>
              <w:t xml:space="preserve"> Gen RT Plan – have a solution</w:t>
            </w:r>
          </w:p>
          <w:p w14:paraId="094CD090" w14:textId="77777777" w:rsidR="00A83909" w:rsidRDefault="00A83909" w:rsidP="00A83909">
            <w:pPr>
              <w:pStyle w:val="ListParagraph"/>
              <w:numPr>
                <w:ilvl w:val="0"/>
                <w:numId w:val="13"/>
              </w:numPr>
              <w:spacing w:before="0" w:line="276" w:lineRule="auto"/>
            </w:pPr>
            <w:r>
              <w:t>Discuss how to handle Robotic and lay out a path</w:t>
            </w:r>
          </w:p>
          <w:p w14:paraId="62E9EA5E" w14:textId="77777777" w:rsidR="00A83909" w:rsidRDefault="00A83909" w:rsidP="00A83909">
            <w:pPr>
              <w:pStyle w:val="ListParagraph"/>
              <w:numPr>
                <w:ilvl w:val="0"/>
                <w:numId w:val="13"/>
              </w:numPr>
              <w:spacing w:before="0" w:line="276" w:lineRule="auto"/>
            </w:pPr>
            <w:r>
              <w:t>Discuss how to handle Multi-Source  plans and lay out a path</w:t>
            </w:r>
          </w:p>
          <w:p w14:paraId="42D111FB" w14:textId="77777777" w:rsidR="00A83909" w:rsidRDefault="00A83909" w:rsidP="00A83909">
            <w:pPr>
              <w:pStyle w:val="ListParagraph"/>
              <w:numPr>
                <w:ilvl w:val="0"/>
                <w:numId w:val="13"/>
              </w:numPr>
              <w:spacing w:before="0" w:line="276" w:lineRule="auto"/>
            </w:pPr>
            <w:r>
              <w:t>Discuss us of CV UID in RT Plan</w:t>
            </w:r>
          </w:p>
          <w:p w14:paraId="69ABB15C" w14:textId="77777777" w:rsidR="00A83909" w:rsidRDefault="00A83909" w:rsidP="00A83909">
            <w:pPr>
              <w:pStyle w:val="ListParagraph"/>
              <w:numPr>
                <w:ilvl w:val="0"/>
                <w:numId w:val="13"/>
              </w:numPr>
              <w:spacing w:before="0" w:line="276" w:lineRule="auto"/>
            </w:pPr>
            <w:r>
              <w:t>Prepare CP to discuss the use of the RT Treatment Preparation IOD (e.g.., enable linking to 1</w:t>
            </w:r>
            <w:r>
              <w:rPr>
                <w:vertAlign w:val="superscript"/>
              </w:rPr>
              <w:t>st</w:t>
            </w:r>
            <w:r>
              <w:t xml:space="preserve"> Gen) - </w:t>
            </w:r>
            <w:proofErr w:type="spellStart"/>
            <w:r>
              <w:t>Uli</w:t>
            </w:r>
            <w:proofErr w:type="spellEnd"/>
          </w:p>
          <w:p w14:paraId="7ABFF4D4" w14:textId="77777777" w:rsidR="00A83909" w:rsidRDefault="00A83909" w:rsidP="00A83909">
            <w:pPr>
              <w:pStyle w:val="ListParagraph"/>
              <w:numPr>
                <w:ilvl w:val="0"/>
                <w:numId w:val="13"/>
              </w:numPr>
              <w:spacing w:before="0" w:line="276" w:lineRule="auto"/>
            </w:pPr>
            <w:r>
              <w:t>Prepare CP to discuss referencing multiple RTSS from Plan – Christof</w:t>
            </w:r>
          </w:p>
          <w:p w14:paraId="31206420" w14:textId="77777777" w:rsidR="00A83909" w:rsidRDefault="00A83909" w:rsidP="00A83909"/>
          <w:p w14:paraId="42ADE3E3" w14:textId="77777777" w:rsidR="00A83909" w:rsidRDefault="00A83909" w:rsidP="00A83909">
            <w:pPr>
              <w:tabs>
                <w:tab w:val="left" w:pos="567"/>
              </w:tabs>
            </w:pPr>
            <w:r>
              <w:t xml:space="preserve">Discussion of support for new (non-C-arm) machines.  </w:t>
            </w:r>
          </w:p>
          <w:p w14:paraId="240C4126" w14:textId="77777777" w:rsidR="00A83909" w:rsidRDefault="00A83909" w:rsidP="00A83909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</w:tabs>
              <w:spacing w:before="0" w:line="276" w:lineRule="auto"/>
            </w:pPr>
            <w:r>
              <w:t>Separate (a) public information for everyone (e.g., TMS, QA applications) and (b) private information that is used by TDD alone.</w:t>
            </w:r>
          </w:p>
          <w:p w14:paraId="052C25CD" w14:textId="77777777" w:rsidR="00A83909" w:rsidRDefault="00A83909" w:rsidP="00A83909">
            <w:pPr>
              <w:pStyle w:val="ListParagraph"/>
              <w:numPr>
                <w:ilvl w:val="1"/>
                <w:numId w:val="14"/>
              </w:numPr>
              <w:tabs>
                <w:tab w:val="left" w:pos="567"/>
              </w:tabs>
              <w:spacing w:before="0" w:line="276" w:lineRule="auto"/>
            </w:pPr>
            <w:r>
              <w:t>Similar public/private representation for treatment record</w:t>
            </w:r>
          </w:p>
          <w:p w14:paraId="09B2D888" w14:textId="77777777" w:rsidR="00A83909" w:rsidRDefault="00A83909" w:rsidP="00A83909">
            <w:pPr>
              <w:pStyle w:val="ListParagraph"/>
              <w:numPr>
                <w:ilvl w:val="1"/>
                <w:numId w:val="14"/>
              </w:numPr>
              <w:tabs>
                <w:tab w:val="left" w:pos="567"/>
              </w:tabs>
              <w:spacing w:before="0" w:line="276" w:lineRule="auto"/>
            </w:pPr>
            <w:r>
              <w:t xml:space="preserve">Dose tracking does not require access to delivery </w:t>
            </w:r>
            <w:proofErr w:type="gramStart"/>
            <w:r>
              <w:t>details, but</w:t>
            </w:r>
            <w:proofErr w:type="gramEnd"/>
            <w:r>
              <w:t xml:space="preserve"> requires indices to Control Points.</w:t>
            </w:r>
          </w:p>
          <w:p w14:paraId="2D298F95" w14:textId="77777777" w:rsidR="00A83909" w:rsidRDefault="00A83909" w:rsidP="00A83909">
            <w:pPr>
              <w:pStyle w:val="ListParagraph"/>
              <w:numPr>
                <w:ilvl w:val="1"/>
                <w:numId w:val="14"/>
              </w:numPr>
              <w:tabs>
                <w:tab w:val="left" w:pos="567"/>
              </w:tabs>
              <w:spacing w:before="0" w:line="276" w:lineRule="auto"/>
            </w:pPr>
            <w:r>
              <w:t>Support for third party device integration</w:t>
            </w:r>
          </w:p>
          <w:p w14:paraId="2E76071E" w14:textId="77777777" w:rsidR="00A83909" w:rsidRDefault="00A83909" w:rsidP="00A83909">
            <w:pPr>
              <w:tabs>
                <w:tab w:val="left" w:pos="567"/>
              </w:tabs>
            </w:pPr>
            <w:r>
              <w:t>Suggestion for white paper on how 1</w:t>
            </w:r>
            <w:r>
              <w:rPr>
                <w:vertAlign w:val="superscript"/>
              </w:rPr>
              <w:t>st</w:t>
            </w:r>
            <w:r>
              <w:t xml:space="preserve"> Gen RT Plan could be adapted for new machines.</w:t>
            </w:r>
          </w:p>
          <w:p w14:paraId="00FBE863" w14:textId="77777777" w:rsidR="00A83909" w:rsidRDefault="00A83909" w:rsidP="00A83909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</w:tabs>
              <w:spacing w:before="0" w:line="276" w:lineRule="auto"/>
            </w:pPr>
            <w:r>
              <w:lastRenderedPageBreak/>
              <w:t xml:space="preserve">RT Plan extensions folder has been created in Teams:  </w:t>
            </w:r>
            <w:hyperlink r:id="rId5" w:history="1">
              <w:r>
                <w:rPr>
                  <w:rStyle w:val="Hyperlink"/>
                  <w:sz w:val="21"/>
                  <w:szCs w:val="21"/>
                </w:rPr>
                <w:t>RT Plan Extension in Wiki</w:t>
              </w:r>
            </w:hyperlink>
          </w:p>
          <w:p w14:paraId="5EE23093" w14:textId="626977EC" w:rsidR="00A83909" w:rsidRPr="00A83909" w:rsidRDefault="00A83909" w:rsidP="00273575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</w:tabs>
              <w:spacing w:before="0" w:line="276" w:lineRule="auto"/>
            </w:pPr>
            <w:r>
              <w:t>Further discussion 9/7/22</w:t>
            </w:r>
          </w:p>
          <w:p w14:paraId="3D2C46B6" w14:textId="3F01F50A" w:rsidR="00A83909" w:rsidRPr="004448A2" w:rsidRDefault="00A83909" w:rsidP="00A83909"/>
        </w:tc>
      </w:tr>
      <w:tr w:rsidR="00793C4D" w14:paraId="679E78F3" w14:textId="77777777">
        <w:tc>
          <w:tcPr>
            <w:tcW w:w="3348" w:type="dxa"/>
          </w:tcPr>
          <w:p w14:paraId="5D34B42B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lastRenderedPageBreak/>
              <w:t>Issues for AAPM:</w:t>
            </w:r>
          </w:p>
          <w:p w14:paraId="49F0BCDF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338A9C64" w14:textId="51DED21E" w:rsidR="00793C4D" w:rsidRDefault="00793C4D" w:rsidP="00793C4D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793C4D" w14:paraId="32B4666B" w14:textId="77777777">
        <w:tc>
          <w:tcPr>
            <w:tcW w:w="3348" w:type="dxa"/>
          </w:tcPr>
          <w:p w14:paraId="4592ED33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14:paraId="30A29F16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69BDD57F" w14:textId="6C2F9F4A" w:rsidR="00793C4D" w:rsidRDefault="00793C4D" w:rsidP="00793C4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2C140A65" w14:textId="77777777" w:rsidR="003164D9" w:rsidRPr="003164D9" w:rsidRDefault="003164D9">
      <w:pPr>
        <w:rPr>
          <w:b/>
        </w:rPr>
      </w:pPr>
    </w:p>
    <w:p w14:paraId="5FCB2B7E" w14:textId="77777777"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3F8B"/>
    <w:multiLevelType w:val="hybridMultilevel"/>
    <w:tmpl w:val="DCD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47AC"/>
    <w:multiLevelType w:val="hybridMultilevel"/>
    <w:tmpl w:val="AEBA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6523F"/>
    <w:multiLevelType w:val="hybridMultilevel"/>
    <w:tmpl w:val="E974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97C4D"/>
    <w:multiLevelType w:val="hybridMultilevel"/>
    <w:tmpl w:val="B5EE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800FB"/>
    <w:multiLevelType w:val="hybridMultilevel"/>
    <w:tmpl w:val="FBB2654E"/>
    <w:lvl w:ilvl="0" w:tplc="28583A1E">
      <w:start w:val="16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2C6A1"/>
    <w:multiLevelType w:val="hybridMultilevel"/>
    <w:tmpl w:val="4120E652"/>
    <w:lvl w:ilvl="0" w:tplc="8DC2A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003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7F05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069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233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CDCC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A9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CEBF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660F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02AAA"/>
    <w:multiLevelType w:val="hybridMultilevel"/>
    <w:tmpl w:val="E9C0F770"/>
    <w:lvl w:ilvl="0" w:tplc="3AB0D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C034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DDC0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A1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454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EA25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A83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E68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FA8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10982"/>
    <w:multiLevelType w:val="multilevel"/>
    <w:tmpl w:val="E34A2B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3A8450C"/>
    <w:multiLevelType w:val="hybridMultilevel"/>
    <w:tmpl w:val="40A0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07F4F"/>
    <w:multiLevelType w:val="hybridMultilevel"/>
    <w:tmpl w:val="D30C2A12"/>
    <w:lvl w:ilvl="0" w:tplc="46FEE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1AA0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4482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61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00A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6D42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1AD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0EB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52AA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94991"/>
    <w:multiLevelType w:val="hybridMultilevel"/>
    <w:tmpl w:val="A400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ED359"/>
    <w:multiLevelType w:val="hybridMultilevel"/>
    <w:tmpl w:val="320A0976"/>
    <w:lvl w:ilvl="0" w:tplc="5846E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E480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4446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1EB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F676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19A3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4AC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E99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526C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A630A"/>
    <w:multiLevelType w:val="hybridMultilevel"/>
    <w:tmpl w:val="7D582452"/>
    <w:lvl w:ilvl="0" w:tplc="D9785B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A4AD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3E7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43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69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7E9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AD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0C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320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6439D"/>
    <w:multiLevelType w:val="hybridMultilevel"/>
    <w:tmpl w:val="FFFFFFFF"/>
    <w:lvl w:ilvl="0" w:tplc="5E30B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C6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3C0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128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D67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BEC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0E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6E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802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084537">
    <w:abstractNumId w:val="10"/>
  </w:num>
  <w:num w:numId="2" w16cid:durableId="1013607297">
    <w:abstractNumId w:val="1"/>
  </w:num>
  <w:num w:numId="3" w16cid:durableId="948895844">
    <w:abstractNumId w:val="3"/>
  </w:num>
  <w:num w:numId="4" w16cid:durableId="697512683">
    <w:abstractNumId w:val="12"/>
  </w:num>
  <w:num w:numId="5" w16cid:durableId="618991432">
    <w:abstractNumId w:val="7"/>
  </w:num>
  <w:num w:numId="6" w16cid:durableId="1979067085">
    <w:abstractNumId w:val="13"/>
  </w:num>
  <w:num w:numId="7" w16cid:durableId="336658793">
    <w:abstractNumId w:val="8"/>
  </w:num>
  <w:num w:numId="8" w16cid:durableId="1958562253">
    <w:abstractNumId w:val="2"/>
  </w:num>
  <w:num w:numId="9" w16cid:durableId="900411955">
    <w:abstractNumId w:val="0"/>
  </w:num>
  <w:num w:numId="10" w16cid:durableId="182420290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36001045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5992136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2704383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46269687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4D"/>
    <w:rsid w:val="00107A31"/>
    <w:rsid w:val="001D3AF5"/>
    <w:rsid w:val="003164D9"/>
    <w:rsid w:val="00371F28"/>
    <w:rsid w:val="0038783C"/>
    <w:rsid w:val="004448A2"/>
    <w:rsid w:val="005E3A70"/>
    <w:rsid w:val="007204EC"/>
    <w:rsid w:val="00793C4D"/>
    <w:rsid w:val="00A83909"/>
    <w:rsid w:val="00AB4A55"/>
    <w:rsid w:val="00AE24F9"/>
    <w:rsid w:val="00E05F17"/>
    <w:rsid w:val="00E338F1"/>
    <w:rsid w:val="00FB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5C122"/>
  <w15:chartTrackingRefBased/>
  <w15:docId w15:val="{14A353A2-B105-4BD5-A304-3D59C2A2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39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3909"/>
    <w:pPr>
      <w:keepNext/>
      <w:keepLines/>
      <w:spacing w:before="360" w:after="120" w:line="276" w:lineRule="auto"/>
      <w:outlineLvl w:val="1"/>
    </w:pPr>
    <w:rPr>
      <w:rFonts w:ascii="Arial" w:eastAsia="Times New Roman" w:hAnsi="Arial" w:cs="Arial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F28"/>
    <w:pPr>
      <w:spacing w:before="6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3909"/>
    <w:rPr>
      <w:rFonts w:ascii="Arial" w:eastAsia="Times New Roman" w:hAnsi="Arial" w:cs="Arial"/>
      <w:sz w:val="32"/>
      <w:szCs w:val="32"/>
      <w:lang w:eastAsia="ja-JP"/>
    </w:rPr>
  </w:style>
  <w:style w:type="character" w:customStyle="1" w:styleId="TableEntryChar1">
    <w:name w:val="Table Entry Char1"/>
    <w:basedOn w:val="DefaultParagraphFont"/>
    <w:link w:val="TableEntry"/>
    <w:uiPriority w:val="1"/>
    <w:locked/>
    <w:rsid w:val="00A83909"/>
    <w:rPr>
      <w:rFonts w:ascii="Helvetica" w:hAnsi="Helvetica"/>
    </w:rPr>
  </w:style>
  <w:style w:type="paragraph" w:customStyle="1" w:styleId="TableEntry">
    <w:name w:val="Table Entry"/>
    <w:basedOn w:val="Normal"/>
    <w:link w:val="TableEntryChar1"/>
    <w:uiPriority w:val="1"/>
    <w:qFormat/>
    <w:rsid w:val="00A83909"/>
    <w:pPr>
      <w:spacing w:before="40" w:after="40" w:line="276" w:lineRule="auto"/>
    </w:pPr>
    <w:rPr>
      <w:rFonts w:ascii="Helvetica" w:hAnsi="Helvetic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839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83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entity/com.microsoft.teamspace.tab.wiki/tab::f2174e6e-1afd-4c69-ae54-c3ca22b42fc8?context=%7B%22subEntityId%22%3A%22%7B%5C%22pageId%5C%22%3A6%2C%5C%22origin%5C%22%3A2%7D%22%2C%22channelId%22%3A%2219%3A54ca516fe4aa43ebb3c4b65ca3bbca83%40thread.tacv2%22%7D&amp;tenantId=8e084e52-e727-4a48-a4dd-b977a442f442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min\AAPM\AAPM%20Committees\Service%20Reports\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1</TotalTime>
  <Pages>5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Yulong</dc:creator>
  <cp:keywords/>
  <dc:description/>
  <cp:lastModifiedBy>Yulong Yan</cp:lastModifiedBy>
  <cp:revision>2</cp:revision>
  <dcterms:created xsi:type="dcterms:W3CDTF">2022-10-10T15:21:00Z</dcterms:created>
  <dcterms:modified xsi:type="dcterms:W3CDTF">2022-10-10T15:21:00Z</dcterms:modified>
</cp:coreProperties>
</file>