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1E0" w:firstRow="1" w:lastRow="1" w:firstColumn="1" w:lastColumn="1" w:noHBand="0" w:noVBand="0"/>
      </w:tblPr>
      <w:tblGrid>
        <w:gridCol w:w="3348"/>
        <w:gridCol w:w="5508"/>
      </w:tblGrid>
      <w:tr w:rsidR="00E338F1" w14:paraId="7BD0E9A5" w14:textId="77777777">
        <w:tc>
          <w:tcPr>
            <w:tcW w:w="3348" w:type="dxa"/>
          </w:tcPr>
          <w:p w14:paraId="2976472A" w14:textId="77777777" w:rsidR="00E338F1" w:rsidRPr="003164D9" w:rsidRDefault="00E338F1" w:rsidP="00E338F1">
            <w:pPr>
              <w:rPr>
                <w:b/>
              </w:rPr>
            </w:pPr>
            <w:r w:rsidRPr="003164D9">
              <w:rPr>
                <w:b/>
              </w:rPr>
              <w:t>Reported by (Name):</w:t>
            </w:r>
          </w:p>
          <w:p w14:paraId="3994DA12" w14:textId="77777777" w:rsidR="00E338F1" w:rsidRDefault="00E338F1">
            <w:pPr>
              <w:rPr>
                <w:b/>
              </w:rPr>
            </w:pPr>
          </w:p>
        </w:tc>
        <w:tc>
          <w:tcPr>
            <w:tcW w:w="5508" w:type="dxa"/>
          </w:tcPr>
          <w:p w14:paraId="1E7EA6C7" w14:textId="2448635A" w:rsidR="00E338F1" w:rsidRDefault="005D6B88">
            <w:pPr>
              <w:rPr>
                <w:b/>
              </w:rPr>
            </w:pPr>
            <w:r>
              <w:rPr>
                <w:b/>
              </w:rPr>
              <w:t>Geoffrey S. Ibbott, Ph.D.</w:t>
            </w:r>
          </w:p>
        </w:tc>
      </w:tr>
      <w:tr w:rsidR="00E338F1" w14:paraId="7A27F10E" w14:textId="77777777">
        <w:tc>
          <w:tcPr>
            <w:tcW w:w="3348" w:type="dxa"/>
          </w:tcPr>
          <w:p w14:paraId="18A0587A" w14:textId="77777777" w:rsidR="00E338F1" w:rsidRPr="003164D9" w:rsidRDefault="00E338F1" w:rsidP="00E338F1">
            <w:pPr>
              <w:rPr>
                <w:b/>
              </w:rPr>
            </w:pPr>
            <w:r w:rsidRPr="003164D9">
              <w:rPr>
                <w:b/>
              </w:rPr>
              <w:t xml:space="preserve">Organization: </w:t>
            </w:r>
          </w:p>
          <w:p w14:paraId="5A6F0BC6" w14:textId="77777777" w:rsidR="00E338F1" w:rsidRDefault="00E338F1">
            <w:pPr>
              <w:rPr>
                <w:b/>
              </w:rPr>
            </w:pPr>
          </w:p>
        </w:tc>
        <w:tc>
          <w:tcPr>
            <w:tcW w:w="5508" w:type="dxa"/>
          </w:tcPr>
          <w:p w14:paraId="71238165" w14:textId="338322E1" w:rsidR="00E338F1" w:rsidRDefault="005D6B88">
            <w:pPr>
              <w:rPr>
                <w:b/>
              </w:rPr>
            </w:pPr>
            <w:r>
              <w:rPr>
                <w:b/>
              </w:rPr>
              <w:t>Working Group 1 of Subcommittee 62C, International Electrotechnical Commission</w:t>
            </w:r>
          </w:p>
        </w:tc>
      </w:tr>
      <w:tr w:rsidR="00E338F1" w14:paraId="2B3D82B0" w14:textId="77777777">
        <w:tc>
          <w:tcPr>
            <w:tcW w:w="3348" w:type="dxa"/>
          </w:tcPr>
          <w:p w14:paraId="69579F8B" w14:textId="77777777" w:rsidR="00E338F1" w:rsidRPr="003164D9" w:rsidRDefault="00E338F1" w:rsidP="00E338F1">
            <w:pPr>
              <w:rPr>
                <w:b/>
              </w:rPr>
            </w:pPr>
            <w:r w:rsidRPr="003164D9">
              <w:rPr>
                <w:b/>
              </w:rPr>
              <w:t>Position Title:</w:t>
            </w:r>
          </w:p>
          <w:p w14:paraId="61908244" w14:textId="77777777" w:rsidR="00E338F1" w:rsidRDefault="00E338F1">
            <w:pPr>
              <w:rPr>
                <w:b/>
              </w:rPr>
            </w:pPr>
          </w:p>
        </w:tc>
        <w:tc>
          <w:tcPr>
            <w:tcW w:w="5508" w:type="dxa"/>
          </w:tcPr>
          <w:p w14:paraId="7FE264AF" w14:textId="0CB90369" w:rsidR="00E338F1" w:rsidRDefault="005D6B88">
            <w:pPr>
              <w:rPr>
                <w:b/>
              </w:rPr>
            </w:pPr>
            <w:r>
              <w:rPr>
                <w:b/>
              </w:rPr>
              <w:t>Convenor</w:t>
            </w:r>
          </w:p>
        </w:tc>
      </w:tr>
      <w:tr w:rsidR="00E338F1" w14:paraId="2455AC7F" w14:textId="77777777">
        <w:tc>
          <w:tcPr>
            <w:tcW w:w="3348" w:type="dxa"/>
          </w:tcPr>
          <w:p w14:paraId="71CB702D" w14:textId="77777777" w:rsidR="00E338F1" w:rsidRPr="003164D9" w:rsidRDefault="00E338F1" w:rsidP="00E338F1">
            <w:pPr>
              <w:rPr>
                <w:b/>
              </w:rPr>
            </w:pPr>
            <w:r w:rsidRPr="003164D9">
              <w:rPr>
                <w:b/>
              </w:rPr>
              <w:t>Activity:</w:t>
            </w:r>
          </w:p>
          <w:p w14:paraId="249B712D" w14:textId="77777777" w:rsidR="00E338F1" w:rsidRDefault="00E338F1">
            <w:pPr>
              <w:rPr>
                <w:b/>
              </w:rPr>
            </w:pPr>
          </w:p>
        </w:tc>
        <w:tc>
          <w:tcPr>
            <w:tcW w:w="5508" w:type="dxa"/>
          </w:tcPr>
          <w:p w14:paraId="7A518484" w14:textId="65A23AAE" w:rsidR="00E338F1" w:rsidRDefault="005D6B88">
            <w:pPr>
              <w:rPr>
                <w:b/>
              </w:rPr>
            </w:pPr>
            <w:r>
              <w:rPr>
                <w:b/>
              </w:rPr>
              <w:t>WG meeting</w:t>
            </w:r>
          </w:p>
        </w:tc>
      </w:tr>
      <w:tr w:rsidR="00E338F1" w14:paraId="3F4FCFA4" w14:textId="77777777">
        <w:trPr>
          <w:trHeight w:val="260"/>
        </w:trPr>
        <w:tc>
          <w:tcPr>
            <w:tcW w:w="3348" w:type="dxa"/>
          </w:tcPr>
          <w:p w14:paraId="05C75763" w14:textId="77777777" w:rsidR="00E338F1" w:rsidRPr="003164D9" w:rsidRDefault="00E338F1" w:rsidP="00E338F1">
            <w:pPr>
              <w:rPr>
                <w:b/>
              </w:rPr>
            </w:pPr>
            <w:r w:rsidRPr="003164D9">
              <w:rPr>
                <w:b/>
              </w:rPr>
              <w:t>Meeting Dates:</w:t>
            </w:r>
          </w:p>
          <w:p w14:paraId="4B701CDF" w14:textId="77777777" w:rsidR="00E338F1" w:rsidRDefault="00E338F1">
            <w:pPr>
              <w:rPr>
                <w:b/>
              </w:rPr>
            </w:pPr>
          </w:p>
        </w:tc>
        <w:tc>
          <w:tcPr>
            <w:tcW w:w="5508" w:type="dxa"/>
          </w:tcPr>
          <w:p w14:paraId="271081C9" w14:textId="3F0D2AEB" w:rsidR="00E338F1" w:rsidRDefault="005D6B88">
            <w:pPr>
              <w:rPr>
                <w:b/>
              </w:rPr>
            </w:pPr>
            <w:r>
              <w:rPr>
                <w:b/>
              </w:rPr>
              <w:t>22-26 April 2024</w:t>
            </w:r>
          </w:p>
        </w:tc>
      </w:tr>
      <w:tr w:rsidR="00E338F1" w14:paraId="12ED576D" w14:textId="77777777">
        <w:tc>
          <w:tcPr>
            <w:tcW w:w="3348" w:type="dxa"/>
          </w:tcPr>
          <w:p w14:paraId="73DD9553" w14:textId="77777777" w:rsidR="00E338F1" w:rsidRPr="003164D9" w:rsidRDefault="00E338F1" w:rsidP="00E338F1">
            <w:pPr>
              <w:rPr>
                <w:b/>
              </w:rPr>
            </w:pPr>
            <w:r w:rsidRPr="003164D9">
              <w:rPr>
                <w:b/>
              </w:rPr>
              <w:t>Meeting Location:</w:t>
            </w:r>
          </w:p>
          <w:p w14:paraId="16B68DB0" w14:textId="77777777" w:rsidR="00E338F1" w:rsidRDefault="00E338F1">
            <w:pPr>
              <w:rPr>
                <w:b/>
              </w:rPr>
            </w:pPr>
          </w:p>
        </w:tc>
        <w:tc>
          <w:tcPr>
            <w:tcW w:w="5508" w:type="dxa"/>
          </w:tcPr>
          <w:p w14:paraId="74664837" w14:textId="587DC39F" w:rsidR="00E338F1" w:rsidRDefault="008A65D1">
            <w:pPr>
              <w:rPr>
                <w:b/>
              </w:rPr>
            </w:pPr>
            <w:r>
              <w:rPr>
                <w:b/>
              </w:rPr>
              <w:t xml:space="preserve">Novotel </w:t>
            </w:r>
            <w:proofErr w:type="spellStart"/>
            <w:r>
              <w:rPr>
                <w:b/>
              </w:rPr>
              <w:t>Wavre</w:t>
            </w:r>
            <w:proofErr w:type="spellEnd"/>
            <w:r>
              <w:rPr>
                <w:b/>
              </w:rPr>
              <w:t xml:space="preserve"> Brussels East, </w:t>
            </w:r>
            <w:proofErr w:type="spellStart"/>
            <w:r>
              <w:rPr>
                <w:b/>
              </w:rPr>
              <w:t>Wavre</w:t>
            </w:r>
            <w:proofErr w:type="spellEnd"/>
            <w:r>
              <w:rPr>
                <w:b/>
              </w:rPr>
              <w:t>, Belgium</w:t>
            </w:r>
          </w:p>
        </w:tc>
      </w:tr>
      <w:tr w:rsidR="00E338F1" w14:paraId="4A7488C8" w14:textId="77777777">
        <w:tc>
          <w:tcPr>
            <w:tcW w:w="3348" w:type="dxa"/>
          </w:tcPr>
          <w:p w14:paraId="363FA460" w14:textId="77777777" w:rsidR="00E338F1" w:rsidRPr="003164D9" w:rsidRDefault="00E338F1" w:rsidP="00E338F1">
            <w:pPr>
              <w:rPr>
                <w:b/>
              </w:rPr>
            </w:pPr>
            <w:r w:rsidRPr="003164D9">
              <w:rPr>
                <w:b/>
              </w:rPr>
              <w:t>Payment $:</w:t>
            </w:r>
          </w:p>
          <w:p w14:paraId="4291BE0F" w14:textId="77777777" w:rsidR="00E338F1" w:rsidRDefault="00E338F1">
            <w:pPr>
              <w:rPr>
                <w:b/>
              </w:rPr>
            </w:pPr>
          </w:p>
        </w:tc>
        <w:tc>
          <w:tcPr>
            <w:tcW w:w="5508" w:type="dxa"/>
          </w:tcPr>
          <w:p w14:paraId="6C350E5A" w14:textId="03468EBF" w:rsidR="00E338F1" w:rsidRDefault="008A65D1">
            <w:pPr>
              <w:rPr>
                <w:b/>
              </w:rPr>
            </w:pPr>
            <w:r>
              <w:rPr>
                <w:b/>
              </w:rPr>
              <w:t>See expense report</w:t>
            </w:r>
          </w:p>
        </w:tc>
      </w:tr>
      <w:tr w:rsidR="00E338F1" w14:paraId="318EF366" w14:textId="77777777">
        <w:tc>
          <w:tcPr>
            <w:tcW w:w="3348" w:type="dxa"/>
          </w:tcPr>
          <w:p w14:paraId="73B044AF" w14:textId="77777777" w:rsidR="00E338F1" w:rsidRPr="003164D9" w:rsidRDefault="00E338F1" w:rsidP="00E338F1">
            <w:pPr>
              <w:rPr>
                <w:b/>
              </w:rPr>
            </w:pPr>
            <w:r w:rsidRPr="003164D9">
              <w:rPr>
                <w:b/>
              </w:rPr>
              <w:t xml:space="preserve">Reasons for Attending or not </w:t>
            </w:r>
            <w:proofErr w:type="gramStart"/>
            <w:r w:rsidRPr="003164D9">
              <w:rPr>
                <w:b/>
              </w:rPr>
              <w:t>Attending</w:t>
            </w:r>
            <w:proofErr w:type="gramEnd"/>
          </w:p>
          <w:p w14:paraId="4C47DA38" w14:textId="77777777" w:rsidR="00E338F1" w:rsidRDefault="00E338F1">
            <w:pPr>
              <w:rPr>
                <w:b/>
              </w:rPr>
            </w:pPr>
          </w:p>
        </w:tc>
        <w:tc>
          <w:tcPr>
            <w:tcW w:w="5508" w:type="dxa"/>
          </w:tcPr>
          <w:p w14:paraId="7B8B7EDE" w14:textId="31C1A850" w:rsidR="00E338F1" w:rsidRDefault="008A65D1">
            <w:pPr>
              <w:rPr>
                <w:b/>
              </w:rPr>
            </w:pPr>
            <w:r>
              <w:rPr>
                <w:b/>
              </w:rPr>
              <w:t>Attended to chair this meeting</w:t>
            </w:r>
          </w:p>
        </w:tc>
      </w:tr>
      <w:tr w:rsidR="00E338F1" w14:paraId="47AB2E96" w14:textId="77777777">
        <w:tc>
          <w:tcPr>
            <w:tcW w:w="3348" w:type="dxa"/>
          </w:tcPr>
          <w:p w14:paraId="541C677F" w14:textId="77777777" w:rsidR="00E338F1" w:rsidRPr="003164D9" w:rsidRDefault="00E338F1" w:rsidP="00E338F1">
            <w:pPr>
              <w:rPr>
                <w:b/>
              </w:rPr>
            </w:pPr>
            <w:r w:rsidRPr="003164D9">
              <w:rPr>
                <w:b/>
              </w:rPr>
              <w:t>Issues from Previous Meetings or Year:</w:t>
            </w:r>
          </w:p>
          <w:p w14:paraId="60BB4C00" w14:textId="77777777" w:rsidR="00E338F1" w:rsidRDefault="00E338F1">
            <w:pPr>
              <w:rPr>
                <w:b/>
              </w:rPr>
            </w:pPr>
          </w:p>
        </w:tc>
        <w:tc>
          <w:tcPr>
            <w:tcW w:w="5508" w:type="dxa"/>
          </w:tcPr>
          <w:p w14:paraId="0C5F862D" w14:textId="243B7F3E" w:rsidR="00E338F1" w:rsidRDefault="008A65D1">
            <w:pPr>
              <w:rPr>
                <w:b/>
              </w:rPr>
            </w:pPr>
            <w:r>
              <w:rPr>
                <w:b/>
              </w:rPr>
              <w:t>Please see detailed report below</w:t>
            </w:r>
          </w:p>
        </w:tc>
      </w:tr>
      <w:tr w:rsidR="00E338F1" w14:paraId="427CEAA7" w14:textId="77777777">
        <w:tc>
          <w:tcPr>
            <w:tcW w:w="3348" w:type="dxa"/>
          </w:tcPr>
          <w:p w14:paraId="0D26F9DA" w14:textId="77777777" w:rsidR="00E338F1" w:rsidRPr="003164D9" w:rsidRDefault="00E338F1" w:rsidP="00E338F1">
            <w:pPr>
              <w:rPr>
                <w:b/>
              </w:rPr>
            </w:pPr>
            <w:r w:rsidRPr="003164D9">
              <w:rPr>
                <w:b/>
              </w:rPr>
              <w:t>General Description of Activities of the Organization and/or Meeting:</w:t>
            </w:r>
          </w:p>
          <w:p w14:paraId="2B4BCD01" w14:textId="77777777" w:rsidR="00E338F1" w:rsidRDefault="00E338F1">
            <w:pPr>
              <w:rPr>
                <w:b/>
              </w:rPr>
            </w:pPr>
          </w:p>
        </w:tc>
        <w:tc>
          <w:tcPr>
            <w:tcW w:w="5508" w:type="dxa"/>
          </w:tcPr>
          <w:p w14:paraId="16046AAB" w14:textId="7915AF2D" w:rsidR="00E338F1" w:rsidRDefault="008A65D1">
            <w:pPr>
              <w:rPr>
                <w:b/>
              </w:rPr>
            </w:pPr>
            <w:r>
              <w:rPr>
                <w:b/>
              </w:rPr>
              <w:t>The IEC (with ISO and ITU) is one of the three organizations that make up the World Standards Cooperation. The IEC writes standards for electrical equipment. WG 1 is responsible for standards for radiation therapy equipment.</w:t>
            </w:r>
          </w:p>
        </w:tc>
      </w:tr>
      <w:tr w:rsidR="00E338F1" w14:paraId="405BA64C" w14:textId="77777777">
        <w:tc>
          <w:tcPr>
            <w:tcW w:w="3348" w:type="dxa"/>
          </w:tcPr>
          <w:p w14:paraId="4D42DBEA" w14:textId="77777777" w:rsidR="00E338F1" w:rsidRPr="003164D9" w:rsidRDefault="00E338F1" w:rsidP="00E338F1">
            <w:pPr>
              <w:rPr>
                <w:b/>
              </w:rPr>
            </w:pPr>
            <w:r w:rsidRPr="003164D9">
              <w:rPr>
                <w:b/>
              </w:rPr>
              <w:t>Issues for AAPM:</w:t>
            </w:r>
          </w:p>
          <w:p w14:paraId="18FB7248" w14:textId="77777777" w:rsidR="00E338F1" w:rsidRDefault="00E338F1">
            <w:pPr>
              <w:rPr>
                <w:b/>
              </w:rPr>
            </w:pPr>
          </w:p>
        </w:tc>
        <w:tc>
          <w:tcPr>
            <w:tcW w:w="5508" w:type="dxa"/>
          </w:tcPr>
          <w:p w14:paraId="015BF892" w14:textId="3BFEF364" w:rsidR="00E338F1" w:rsidRDefault="008A65D1">
            <w:pPr>
              <w:rPr>
                <w:b/>
              </w:rPr>
            </w:pPr>
            <w:r>
              <w:rPr>
                <w:b/>
              </w:rPr>
              <w:t>IEC 63322 is approaching completion. It addresses the security of radioactive sources, including those used for teletherapy and HDR. The standard includes requirements for hospitals which might benefit from the involvement of the AAPM and the CRCPD.</w:t>
            </w:r>
          </w:p>
        </w:tc>
      </w:tr>
      <w:tr w:rsidR="00E338F1" w14:paraId="0204B81D" w14:textId="77777777">
        <w:tc>
          <w:tcPr>
            <w:tcW w:w="3348" w:type="dxa"/>
          </w:tcPr>
          <w:p w14:paraId="1707805D" w14:textId="77777777" w:rsidR="00E338F1" w:rsidRPr="003164D9" w:rsidRDefault="00E338F1" w:rsidP="00E338F1">
            <w:pPr>
              <w:rPr>
                <w:b/>
              </w:rPr>
            </w:pPr>
            <w:r w:rsidRPr="003164D9">
              <w:rPr>
                <w:b/>
              </w:rPr>
              <w:t>Budget Request ($):</w:t>
            </w:r>
          </w:p>
          <w:p w14:paraId="15D42B0E" w14:textId="77777777" w:rsidR="00E338F1" w:rsidRDefault="00E338F1">
            <w:pPr>
              <w:rPr>
                <w:b/>
              </w:rPr>
            </w:pPr>
          </w:p>
        </w:tc>
        <w:tc>
          <w:tcPr>
            <w:tcW w:w="5508" w:type="dxa"/>
          </w:tcPr>
          <w:p w14:paraId="07848591" w14:textId="6A57B5B6" w:rsidR="00E338F1" w:rsidRDefault="008A65D1">
            <w:pPr>
              <w:rPr>
                <w:b/>
              </w:rPr>
            </w:pPr>
            <w:r>
              <w:rPr>
                <w:b/>
              </w:rPr>
              <w:t>See WGIEC budget.</w:t>
            </w:r>
          </w:p>
        </w:tc>
      </w:tr>
    </w:tbl>
    <w:p w14:paraId="0A17D900" w14:textId="77777777" w:rsidR="003164D9" w:rsidRPr="003164D9" w:rsidRDefault="003164D9">
      <w:pPr>
        <w:rPr>
          <w:b/>
        </w:rPr>
      </w:pPr>
    </w:p>
    <w:p w14:paraId="4FEC8BC6" w14:textId="77777777" w:rsidR="003164D9" w:rsidRPr="003164D9" w:rsidRDefault="003164D9">
      <w:pPr>
        <w:rPr>
          <w:b/>
        </w:rPr>
      </w:pPr>
    </w:p>
    <w:tbl>
      <w:tblPr>
        <w:tblW w:w="0" w:type="auto"/>
        <w:tblLayout w:type="fixed"/>
        <w:tblCellMar>
          <w:left w:w="70" w:type="dxa"/>
          <w:right w:w="70" w:type="dxa"/>
        </w:tblCellMar>
        <w:tblLook w:val="0000" w:firstRow="0" w:lastRow="0" w:firstColumn="0" w:lastColumn="0" w:noHBand="0" w:noVBand="0"/>
      </w:tblPr>
      <w:tblGrid>
        <w:gridCol w:w="5032"/>
        <w:gridCol w:w="4677"/>
      </w:tblGrid>
      <w:tr w:rsidR="008A65D1" w14:paraId="39A854EB" w14:textId="77777777" w:rsidTr="007F5BAC">
        <w:tc>
          <w:tcPr>
            <w:tcW w:w="5032" w:type="dxa"/>
          </w:tcPr>
          <w:p w14:paraId="180590C8" w14:textId="77777777" w:rsidR="008A65D1" w:rsidRDefault="008A65D1" w:rsidP="007F5BAC">
            <w:pPr>
              <w:tabs>
                <w:tab w:val="left" w:pos="1134"/>
              </w:tabs>
            </w:pPr>
            <w:r>
              <w:rPr>
                <w:noProof/>
                <w:lang w:eastAsia="en-GB"/>
              </w:rPr>
              <w:drawing>
                <wp:inline distT="0" distB="0" distL="0" distR="0" wp14:anchorId="3EF39610" wp14:editId="21D0B0B1">
                  <wp:extent cx="745363" cy="646266"/>
                  <wp:effectExtent l="0" t="0" r="0" b="1905"/>
                  <wp:docPr id="7" name="Picture 7" descr="C:\Users\sn\OneDrive - IEC\coordination\template\iec_logo_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OneDrive - IEC\coordination\template\iec_logo_100px.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7467" cy="648090"/>
                          </a:xfrm>
                          <a:prstGeom prst="rect">
                            <a:avLst/>
                          </a:prstGeom>
                          <a:noFill/>
                          <a:ln>
                            <a:noFill/>
                          </a:ln>
                        </pic:spPr>
                      </pic:pic>
                    </a:graphicData>
                  </a:graphic>
                </wp:inline>
              </w:drawing>
            </w:r>
          </w:p>
        </w:tc>
        <w:tc>
          <w:tcPr>
            <w:tcW w:w="4677" w:type="dxa"/>
            <w:tcBorders>
              <w:top w:val="single" w:sz="6" w:space="0" w:color="auto"/>
              <w:left w:val="single" w:sz="6" w:space="0" w:color="auto"/>
              <w:bottom w:val="single" w:sz="6" w:space="0" w:color="auto"/>
              <w:right w:val="single" w:sz="6" w:space="0" w:color="auto"/>
            </w:tcBorders>
          </w:tcPr>
          <w:p w14:paraId="28900F51" w14:textId="77777777" w:rsidR="008A65D1" w:rsidRDefault="008A65D1" w:rsidP="007F5BAC">
            <w:pPr>
              <w:tabs>
                <w:tab w:val="right" w:pos="4324"/>
              </w:tabs>
              <w:spacing w:line="320" w:lineRule="exact"/>
              <w:ind w:left="71" w:right="74"/>
              <w:rPr>
                <w:b/>
                <w:sz w:val="22"/>
              </w:rPr>
            </w:pPr>
          </w:p>
        </w:tc>
      </w:tr>
    </w:tbl>
    <w:p w14:paraId="09CE8195" w14:textId="77777777" w:rsidR="008A65D1" w:rsidRDefault="008A65D1" w:rsidP="008A65D1">
      <w:pPr>
        <w:tabs>
          <w:tab w:val="left" w:pos="1134"/>
        </w:tabs>
      </w:pPr>
    </w:p>
    <w:p w14:paraId="524DEC2C" w14:textId="77777777" w:rsidR="008A65D1" w:rsidRDefault="008A65D1" w:rsidP="008A65D1">
      <w:pPr>
        <w:pStyle w:val="Heading5"/>
      </w:pPr>
      <w:r>
        <w:t>INTERNATIONAL ELECTROTECHNICAL COMMISSION</w:t>
      </w:r>
    </w:p>
    <w:p w14:paraId="126A32EC" w14:textId="77777777" w:rsidR="008A65D1" w:rsidRDefault="008A65D1" w:rsidP="008A65D1">
      <w:pPr>
        <w:tabs>
          <w:tab w:val="left" w:pos="1134"/>
        </w:tabs>
        <w:rPr>
          <w:b/>
        </w:rPr>
        <w:sectPr w:rsidR="008A65D1" w:rsidSect="00F85678">
          <w:footerReference w:type="default" r:id="rId5"/>
          <w:pgSz w:w="11907" w:h="16840" w:code="9"/>
          <w:pgMar w:top="1021" w:right="1134" w:bottom="1418" w:left="1021" w:header="426" w:footer="851" w:gutter="0"/>
          <w:cols w:space="720"/>
        </w:sectPr>
      </w:pPr>
    </w:p>
    <w:p w14:paraId="0F304089" w14:textId="77777777" w:rsidR="008A65D1" w:rsidRDefault="008A65D1" w:rsidP="008A65D1"/>
    <w:p w14:paraId="49286F1B" w14:textId="77777777" w:rsidR="008A65D1" w:rsidRDefault="008A65D1" w:rsidP="008A65D1">
      <w:pPr>
        <w:widowControl w:val="0"/>
        <w:autoSpaceDE w:val="0"/>
        <w:autoSpaceDN w:val="0"/>
        <w:adjustRightInd w:val="0"/>
        <w:spacing w:after="240" w:line="300" w:lineRule="atLeast"/>
        <w:rPr>
          <w:b/>
          <w:sz w:val="22"/>
        </w:rPr>
      </w:pPr>
      <w:r>
        <w:rPr>
          <w:b/>
          <w:sz w:val="22"/>
        </w:rPr>
        <w:t>Report of Meeting of IEC Subcommittee 62C / Working Group 1</w:t>
      </w:r>
    </w:p>
    <w:p w14:paraId="2F3B4683" w14:textId="77777777" w:rsidR="008A65D1" w:rsidRDefault="008A65D1" w:rsidP="008A65D1">
      <w:pPr>
        <w:spacing w:before="120"/>
        <w:rPr>
          <w:b/>
          <w:sz w:val="22"/>
          <w:szCs w:val="22"/>
        </w:rPr>
      </w:pPr>
      <w:r>
        <w:rPr>
          <w:b/>
          <w:sz w:val="22"/>
          <w:szCs w:val="22"/>
        </w:rPr>
        <w:t xml:space="preserve">April 22 to 26, 2024 in </w:t>
      </w:r>
      <w:proofErr w:type="spellStart"/>
      <w:r>
        <w:rPr>
          <w:b/>
          <w:sz w:val="22"/>
          <w:szCs w:val="22"/>
        </w:rPr>
        <w:t>Wavre</w:t>
      </w:r>
      <w:proofErr w:type="spellEnd"/>
      <w:r>
        <w:rPr>
          <w:b/>
          <w:sz w:val="22"/>
          <w:szCs w:val="22"/>
        </w:rPr>
        <w:t>, Belgium</w:t>
      </w:r>
    </w:p>
    <w:p w14:paraId="100CD20E" w14:textId="77777777" w:rsidR="008A65D1" w:rsidRDefault="008A65D1" w:rsidP="008A65D1">
      <w:pPr>
        <w:autoSpaceDE w:val="0"/>
        <w:autoSpaceDN w:val="0"/>
        <w:adjustRightInd w:val="0"/>
        <w:ind w:right="2682"/>
        <w:rPr>
          <w:b/>
          <w:sz w:val="22"/>
          <w:szCs w:val="22"/>
        </w:rPr>
        <w:sectPr w:rsidR="008A65D1" w:rsidSect="00F85678">
          <w:footerReference w:type="default" r:id="rId6"/>
          <w:type w:val="continuous"/>
          <w:pgSz w:w="11907" w:h="16840" w:code="9"/>
          <w:pgMar w:top="1021" w:right="1134" w:bottom="1418" w:left="1021" w:header="426" w:footer="851" w:gutter="0"/>
          <w:cols w:space="720"/>
          <w:formProt w:val="0"/>
        </w:sectPr>
      </w:pPr>
    </w:p>
    <w:p w14:paraId="56E31AFB" w14:textId="77777777" w:rsidR="008A65D1" w:rsidRDefault="008A65D1" w:rsidP="008A65D1">
      <w:pPr>
        <w:autoSpaceDE w:val="0"/>
        <w:autoSpaceDN w:val="0"/>
        <w:adjustRightInd w:val="0"/>
        <w:ind w:right="376"/>
        <w:rPr>
          <w:b/>
          <w:sz w:val="22"/>
          <w:szCs w:val="22"/>
        </w:rPr>
      </w:pPr>
    </w:p>
    <w:p w14:paraId="618EFC5A" w14:textId="77777777" w:rsidR="008A65D1" w:rsidRDefault="008A65D1" w:rsidP="008A65D1">
      <w:pPr>
        <w:autoSpaceDE w:val="0"/>
        <w:autoSpaceDN w:val="0"/>
        <w:adjustRightInd w:val="0"/>
        <w:ind w:right="376"/>
        <w:rPr>
          <w:b/>
          <w:sz w:val="22"/>
          <w:szCs w:val="22"/>
        </w:rPr>
      </w:pPr>
      <w:r>
        <w:rPr>
          <w:b/>
          <w:sz w:val="22"/>
          <w:szCs w:val="22"/>
        </w:rPr>
        <w:t xml:space="preserve">Meeting venue: </w:t>
      </w:r>
    </w:p>
    <w:p w14:paraId="4573FB7C" w14:textId="77777777" w:rsidR="008A65D1" w:rsidRPr="008A65D1" w:rsidRDefault="008A65D1" w:rsidP="008A65D1">
      <w:pPr>
        <w:ind w:right="376"/>
        <w:rPr>
          <w:color w:val="000000"/>
          <w:sz w:val="22"/>
          <w:szCs w:val="22"/>
        </w:rPr>
      </w:pPr>
      <w:hyperlink r:id="rId7" w:history="1">
        <w:r w:rsidRPr="00093468">
          <w:rPr>
            <w:rStyle w:val="Hyperlink"/>
            <w:sz w:val="22"/>
            <w:szCs w:val="22"/>
          </w:rPr>
          <w:t xml:space="preserve">Novotel </w:t>
        </w:r>
        <w:proofErr w:type="spellStart"/>
        <w:r w:rsidRPr="00093468">
          <w:rPr>
            <w:rStyle w:val="Hyperlink"/>
            <w:sz w:val="22"/>
            <w:szCs w:val="22"/>
          </w:rPr>
          <w:t>Wavre</w:t>
        </w:r>
        <w:proofErr w:type="spellEnd"/>
        <w:r w:rsidRPr="00093468">
          <w:rPr>
            <w:rStyle w:val="Hyperlink"/>
            <w:sz w:val="22"/>
            <w:szCs w:val="22"/>
          </w:rPr>
          <w:t xml:space="preserve"> Brussels East</w:t>
        </w:r>
      </w:hyperlink>
    </w:p>
    <w:p w14:paraId="0D83A861" w14:textId="77777777" w:rsidR="008A65D1" w:rsidRPr="008A65D1" w:rsidRDefault="008A65D1" w:rsidP="008A65D1">
      <w:pPr>
        <w:ind w:right="376"/>
        <w:rPr>
          <w:color w:val="000000"/>
          <w:sz w:val="22"/>
          <w:szCs w:val="22"/>
        </w:rPr>
      </w:pPr>
      <w:r w:rsidRPr="008A65D1">
        <w:rPr>
          <w:color w:val="000000"/>
          <w:sz w:val="22"/>
          <w:szCs w:val="22"/>
        </w:rPr>
        <w:t xml:space="preserve">Rue de la </w:t>
      </w:r>
      <w:proofErr w:type="spellStart"/>
      <w:r w:rsidRPr="008A65D1">
        <w:rPr>
          <w:color w:val="000000"/>
          <w:sz w:val="22"/>
          <w:szCs w:val="22"/>
        </w:rPr>
        <w:t>Wastinne</w:t>
      </w:r>
      <w:proofErr w:type="spellEnd"/>
      <w:r w:rsidRPr="008A65D1">
        <w:rPr>
          <w:color w:val="000000"/>
          <w:sz w:val="22"/>
          <w:szCs w:val="22"/>
        </w:rPr>
        <w:t xml:space="preserve"> 45</w:t>
      </w:r>
    </w:p>
    <w:p w14:paraId="0EDF4D09" w14:textId="77777777" w:rsidR="008A65D1" w:rsidRPr="008A65D1" w:rsidRDefault="008A65D1" w:rsidP="008A65D1">
      <w:pPr>
        <w:ind w:right="376"/>
        <w:rPr>
          <w:color w:val="000000"/>
          <w:sz w:val="22"/>
          <w:szCs w:val="22"/>
        </w:rPr>
      </w:pPr>
      <w:r w:rsidRPr="008A65D1">
        <w:rPr>
          <w:color w:val="000000"/>
          <w:sz w:val="22"/>
          <w:szCs w:val="22"/>
        </w:rPr>
        <w:t xml:space="preserve">1301 </w:t>
      </w:r>
      <w:proofErr w:type="spellStart"/>
      <w:r w:rsidRPr="008A65D1">
        <w:rPr>
          <w:color w:val="000000"/>
          <w:sz w:val="22"/>
          <w:szCs w:val="22"/>
        </w:rPr>
        <w:t>Wavre</w:t>
      </w:r>
      <w:proofErr w:type="spellEnd"/>
    </w:p>
    <w:p w14:paraId="279B03CD" w14:textId="77777777" w:rsidR="008A65D1" w:rsidRPr="008A65D1" w:rsidRDefault="008A65D1" w:rsidP="008A65D1">
      <w:pPr>
        <w:ind w:right="376"/>
        <w:rPr>
          <w:color w:val="000000"/>
          <w:sz w:val="22"/>
          <w:szCs w:val="22"/>
        </w:rPr>
      </w:pPr>
      <w:r w:rsidRPr="008A65D1">
        <w:rPr>
          <w:color w:val="000000"/>
          <w:sz w:val="22"/>
          <w:szCs w:val="22"/>
        </w:rPr>
        <w:t>Belgium</w:t>
      </w:r>
    </w:p>
    <w:p w14:paraId="00ED856D" w14:textId="77777777" w:rsidR="008A65D1" w:rsidRPr="008A65D1" w:rsidRDefault="008A65D1" w:rsidP="008A65D1">
      <w:pPr>
        <w:ind w:right="376"/>
        <w:rPr>
          <w:color w:val="000000"/>
          <w:sz w:val="22"/>
          <w:szCs w:val="22"/>
        </w:rPr>
      </w:pPr>
    </w:p>
    <w:p w14:paraId="332451AF" w14:textId="77777777" w:rsidR="008A65D1" w:rsidRDefault="008A65D1" w:rsidP="008A65D1">
      <w:pPr>
        <w:tabs>
          <w:tab w:val="left" w:pos="780"/>
        </w:tabs>
        <w:autoSpaceDE w:val="0"/>
        <w:autoSpaceDN w:val="0"/>
        <w:adjustRightInd w:val="0"/>
        <w:ind w:right="106"/>
        <w:rPr>
          <w:b/>
          <w:sz w:val="22"/>
          <w:szCs w:val="22"/>
        </w:rPr>
      </w:pPr>
    </w:p>
    <w:p w14:paraId="135E6B10" w14:textId="77777777" w:rsidR="008A65D1" w:rsidRDefault="008A65D1" w:rsidP="008A65D1">
      <w:pPr>
        <w:tabs>
          <w:tab w:val="left" w:pos="780"/>
        </w:tabs>
        <w:autoSpaceDE w:val="0"/>
        <w:autoSpaceDN w:val="0"/>
        <w:adjustRightInd w:val="0"/>
        <w:ind w:right="106"/>
        <w:rPr>
          <w:b/>
          <w:sz w:val="22"/>
          <w:szCs w:val="22"/>
        </w:rPr>
      </w:pPr>
    </w:p>
    <w:p w14:paraId="283E048A" w14:textId="77777777" w:rsidR="008A65D1" w:rsidRDefault="008A65D1" w:rsidP="008A65D1">
      <w:pPr>
        <w:tabs>
          <w:tab w:val="left" w:pos="780"/>
        </w:tabs>
        <w:autoSpaceDE w:val="0"/>
        <w:autoSpaceDN w:val="0"/>
        <w:adjustRightInd w:val="0"/>
        <w:ind w:right="106"/>
        <w:rPr>
          <w:b/>
          <w:sz w:val="22"/>
          <w:szCs w:val="22"/>
        </w:rPr>
      </w:pPr>
      <w:r>
        <w:rPr>
          <w:b/>
          <w:sz w:val="22"/>
          <w:szCs w:val="22"/>
        </w:rPr>
        <w:t>Begin</w:t>
      </w:r>
      <w:r>
        <w:rPr>
          <w:sz w:val="22"/>
          <w:szCs w:val="22"/>
        </w:rPr>
        <w:t>:</w:t>
      </w:r>
      <w:r>
        <w:rPr>
          <w:sz w:val="22"/>
          <w:szCs w:val="22"/>
        </w:rPr>
        <w:tab/>
        <w:t>2024-04-22, 09.00</w:t>
      </w:r>
    </w:p>
    <w:p w14:paraId="6E40FB68" w14:textId="77777777" w:rsidR="008A65D1" w:rsidRDefault="008A65D1" w:rsidP="008A65D1">
      <w:pPr>
        <w:tabs>
          <w:tab w:val="left" w:pos="780"/>
        </w:tabs>
        <w:autoSpaceDE w:val="0"/>
        <w:autoSpaceDN w:val="0"/>
        <w:adjustRightInd w:val="0"/>
        <w:ind w:right="106"/>
        <w:rPr>
          <w:sz w:val="22"/>
          <w:szCs w:val="22"/>
        </w:rPr>
      </w:pPr>
      <w:r>
        <w:rPr>
          <w:b/>
          <w:sz w:val="22"/>
          <w:szCs w:val="22"/>
        </w:rPr>
        <w:t>End:</w:t>
      </w:r>
      <w:r>
        <w:rPr>
          <w:b/>
          <w:sz w:val="22"/>
          <w:szCs w:val="22"/>
        </w:rPr>
        <w:tab/>
      </w:r>
      <w:r>
        <w:rPr>
          <w:sz w:val="22"/>
          <w:szCs w:val="22"/>
        </w:rPr>
        <w:t>2024-04-26, 17.00</w:t>
      </w:r>
    </w:p>
    <w:p w14:paraId="4DF9C219" w14:textId="77777777" w:rsidR="008A65D1" w:rsidRDefault="008A65D1" w:rsidP="008A65D1">
      <w:pPr>
        <w:tabs>
          <w:tab w:val="left" w:pos="780"/>
        </w:tabs>
        <w:autoSpaceDE w:val="0"/>
        <w:autoSpaceDN w:val="0"/>
        <w:adjustRightInd w:val="0"/>
        <w:ind w:left="1410" w:right="106" w:hanging="1410"/>
        <w:rPr>
          <w:sz w:val="22"/>
          <w:szCs w:val="22"/>
        </w:rPr>
      </w:pPr>
      <w:r>
        <w:rPr>
          <w:sz w:val="22"/>
          <w:szCs w:val="22"/>
        </w:rPr>
        <w:tab/>
      </w:r>
    </w:p>
    <w:p w14:paraId="01981E50" w14:textId="77777777" w:rsidR="008A65D1" w:rsidRDefault="008A65D1" w:rsidP="008A65D1">
      <w:pPr>
        <w:spacing w:before="120"/>
        <w:rPr>
          <w:b/>
          <w:sz w:val="22"/>
          <w:szCs w:val="22"/>
        </w:rPr>
      </w:pPr>
    </w:p>
    <w:p w14:paraId="43CFA5C0" w14:textId="77777777" w:rsidR="008A65D1" w:rsidRDefault="008A65D1" w:rsidP="008A65D1">
      <w:pPr>
        <w:spacing w:before="120"/>
        <w:rPr>
          <w:b/>
          <w:sz w:val="22"/>
          <w:szCs w:val="22"/>
        </w:rPr>
        <w:sectPr w:rsidR="008A65D1" w:rsidSect="00F85678">
          <w:type w:val="continuous"/>
          <w:pgSz w:w="11907" w:h="16840" w:code="9"/>
          <w:pgMar w:top="1021" w:right="1134" w:bottom="1418" w:left="1021" w:header="426" w:footer="851" w:gutter="0"/>
          <w:cols w:num="2" w:space="720"/>
          <w:formProt w:val="0"/>
        </w:sectPr>
      </w:pPr>
    </w:p>
    <w:p w14:paraId="1016838E" w14:textId="77777777" w:rsidR="008A65D1" w:rsidRDefault="008A65D1" w:rsidP="008A65D1">
      <w:pPr>
        <w:autoSpaceDE w:val="0"/>
        <w:autoSpaceDN w:val="0"/>
        <w:adjustRightInd w:val="0"/>
        <w:ind w:firstLine="1260"/>
        <w:rPr>
          <w:b/>
          <w:bCs/>
        </w:rPr>
      </w:pPr>
    </w:p>
    <w:p w14:paraId="4AC1A47E" w14:textId="77777777" w:rsidR="008A65D1" w:rsidRPr="008A65D1" w:rsidRDefault="008A65D1" w:rsidP="008A65D1">
      <w:pPr>
        <w:autoSpaceDE w:val="0"/>
        <w:autoSpaceDN w:val="0"/>
        <w:adjustRightInd w:val="0"/>
        <w:rPr>
          <w:b/>
          <w:bCs/>
          <w:sz w:val="20"/>
          <w:szCs w:val="20"/>
        </w:rPr>
      </w:pPr>
      <w:r w:rsidRPr="008A65D1">
        <w:rPr>
          <w:b/>
          <w:bCs/>
          <w:sz w:val="20"/>
          <w:szCs w:val="20"/>
        </w:rPr>
        <w:t>The meeting was called to order at 9:00 am on Monday, April 22, 2024</w:t>
      </w:r>
    </w:p>
    <w:p w14:paraId="01D061AD" w14:textId="77777777" w:rsidR="008A65D1" w:rsidRPr="008A65D1" w:rsidRDefault="008A65D1" w:rsidP="008A65D1">
      <w:pPr>
        <w:rPr>
          <w:sz w:val="20"/>
          <w:szCs w:val="20"/>
        </w:rPr>
      </w:pPr>
    </w:p>
    <w:p w14:paraId="323FCC8A" w14:textId="77777777" w:rsidR="008A65D1" w:rsidRPr="008A65D1" w:rsidRDefault="008A65D1" w:rsidP="008A65D1">
      <w:pPr>
        <w:widowControl w:val="0"/>
        <w:tabs>
          <w:tab w:val="left" w:pos="360"/>
          <w:tab w:val="left" w:pos="2160"/>
        </w:tabs>
        <w:autoSpaceDE w:val="0"/>
        <w:autoSpaceDN w:val="0"/>
        <w:adjustRightInd w:val="0"/>
        <w:spacing w:after="120"/>
        <w:ind w:right="-714"/>
        <w:rPr>
          <w:bCs/>
          <w:iCs/>
          <w:sz w:val="20"/>
          <w:szCs w:val="20"/>
          <w:u w:val="single"/>
        </w:rPr>
      </w:pPr>
      <w:r w:rsidRPr="008A65D1">
        <w:rPr>
          <w:bCs/>
          <w:iCs/>
          <w:sz w:val="20"/>
          <w:szCs w:val="20"/>
          <w:u w:val="single"/>
        </w:rPr>
        <w:t>The attendees at the meeting are listed in the Appendix.</w:t>
      </w:r>
    </w:p>
    <w:p w14:paraId="5496A7CB" w14:textId="77777777" w:rsidR="008A65D1" w:rsidRPr="008A65D1" w:rsidRDefault="008A65D1" w:rsidP="008A65D1">
      <w:pPr>
        <w:widowControl w:val="0"/>
        <w:tabs>
          <w:tab w:val="left" w:pos="360"/>
          <w:tab w:val="left" w:pos="1843"/>
        </w:tabs>
        <w:autoSpaceDE w:val="0"/>
        <w:autoSpaceDN w:val="0"/>
        <w:adjustRightInd w:val="0"/>
        <w:spacing w:after="120"/>
        <w:rPr>
          <w:color w:val="000000"/>
          <w:sz w:val="20"/>
          <w:szCs w:val="20"/>
        </w:rPr>
      </w:pPr>
      <w:r w:rsidRPr="008A65D1">
        <w:rPr>
          <w:color w:val="000000"/>
          <w:sz w:val="20"/>
          <w:szCs w:val="20"/>
        </w:rPr>
        <w:t xml:space="preserve">The Convenor welcomed the WG members and reviewed some minor housekeeping issues. He reported that two Korean members, </w:t>
      </w:r>
      <w:proofErr w:type="spellStart"/>
      <w:r w:rsidRPr="008A65D1">
        <w:rPr>
          <w:color w:val="000000"/>
          <w:sz w:val="20"/>
          <w:szCs w:val="20"/>
        </w:rPr>
        <w:t>Ilsung</w:t>
      </w:r>
      <w:proofErr w:type="spellEnd"/>
      <w:r w:rsidRPr="008A65D1">
        <w:rPr>
          <w:color w:val="000000"/>
          <w:sz w:val="20"/>
          <w:szCs w:val="20"/>
        </w:rPr>
        <w:t xml:space="preserve"> Cho and Hyo Jung </w:t>
      </w:r>
      <w:proofErr w:type="spellStart"/>
      <w:r w:rsidRPr="008A65D1">
        <w:rPr>
          <w:color w:val="000000"/>
          <w:sz w:val="20"/>
          <w:szCs w:val="20"/>
        </w:rPr>
        <w:t>Seo</w:t>
      </w:r>
      <w:proofErr w:type="spellEnd"/>
      <w:r w:rsidRPr="008A65D1">
        <w:rPr>
          <w:color w:val="000000"/>
          <w:sz w:val="20"/>
          <w:szCs w:val="20"/>
        </w:rPr>
        <w:t xml:space="preserve"> had cancelled their attendance due to medical issues. The WG wished both members good health and sent hopes that we will see them at the next meeting. </w:t>
      </w:r>
    </w:p>
    <w:p w14:paraId="32B0098A" w14:textId="77777777" w:rsidR="008A65D1" w:rsidRPr="008A65D1" w:rsidRDefault="008A65D1" w:rsidP="008A65D1">
      <w:pPr>
        <w:widowControl w:val="0"/>
        <w:tabs>
          <w:tab w:val="left" w:pos="360"/>
          <w:tab w:val="left" w:pos="1843"/>
        </w:tabs>
        <w:autoSpaceDE w:val="0"/>
        <w:autoSpaceDN w:val="0"/>
        <w:adjustRightInd w:val="0"/>
        <w:spacing w:after="120"/>
        <w:rPr>
          <w:color w:val="000000"/>
          <w:sz w:val="20"/>
          <w:szCs w:val="20"/>
        </w:rPr>
      </w:pPr>
      <w:r w:rsidRPr="008A65D1">
        <w:rPr>
          <w:color w:val="000000"/>
          <w:sz w:val="20"/>
          <w:szCs w:val="20"/>
        </w:rPr>
        <w:t>The IEC Code of Conduct was reviewed, as was the agenda and the structure of the meeting.</w:t>
      </w:r>
    </w:p>
    <w:p w14:paraId="266AB11A" w14:textId="77777777" w:rsidR="008A65D1" w:rsidRPr="008A65D1" w:rsidRDefault="008A65D1" w:rsidP="008A65D1">
      <w:pPr>
        <w:widowControl w:val="0"/>
        <w:tabs>
          <w:tab w:val="left" w:pos="360"/>
          <w:tab w:val="left" w:pos="1843"/>
        </w:tabs>
        <w:autoSpaceDE w:val="0"/>
        <w:autoSpaceDN w:val="0"/>
        <w:adjustRightInd w:val="0"/>
        <w:spacing w:after="120"/>
        <w:rPr>
          <w:sz w:val="20"/>
          <w:szCs w:val="20"/>
        </w:rPr>
      </w:pPr>
      <w:r w:rsidRPr="008A65D1">
        <w:rPr>
          <w:sz w:val="20"/>
          <w:szCs w:val="20"/>
        </w:rPr>
        <w:t>The Convenor presented a brief report of activities since the previous meeting, which had been held in conjunction with the TC 62 plenary meetings in September 2023 in Seoul, South Korea.</w:t>
      </w:r>
    </w:p>
    <w:p w14:paraId="6618EE3C" w14:textId="77777777" w:rsidR="008A65D1" w:rsidRPr="008A65D1" w:rsidRDefault="008A65D1" w:rsidP="008A65D1">
      <w:pPr>
        <w:widowControl w:val="0"/>
        <w:tabs>
          <w:tab w:val="left" w:pos="360"/>
          <w:tab w:val="left" w:pos="1843"/>
        </w:tabs>
        <w:autoSpaceDE w:val="0"/>
        <w:autoSpaceDN w:val="0"/>
        <w:adjustRightInd w:val="0"/>
        <w:spacing w:after="120"/>
        <w:rPr>
          <w:sz w:val="20"/>
          <w:szCs w:val="20"/>
        </w:rPr>
      </w:pPr>
      <w:r w:rsidRPr="008A65D1">
        <w:rPr>
          <w:sz w:val="20"/>
          <w:szCs w:val="20"/>
        </w:rPr>
        <w:t xml:space="preserve">Alan Cohen, Chair of 62C, was unavailable to join this meeting but explained in prior correspondence that there were no issues from the subcommittee to report to the </w:t>
      </w:r>
      <w:proofErr w:type="gramStart"/>
      <w:r w:rsidRPr="008A65D1">
        <w:rPr>
          <w:sz w:val="20"/>
          <w:szCs w:val="20"/>
        </w:rPr>
        <w:t>WG .</w:t>
      </w:r>
      <w:proofErr w:type="gramEnd"/>
      <w:r w:rsidRPr="008A65D1">
        <w:rPr>
          <w:sz w:val="20"/>
          <w:szCs w:val="20"/>
        </w:rPr>
        <w:t xml:space="preserve"> Regina </w:t>
      </w:r>
      <w:proofErr w:type="spellStart"/>
      <w:r w:rsidRPr="008A65D1">
        <w:rPr>
          <w:sz w:val="20"/>
          <w:szCs w:val="20"/>
        </w:rPr>
        <w:t>Geierhofer</w:t>
      </w:r>
      <w:proofErr w:type="spellEnd"/>
      <w:r w:rsidRPr="008A65D1">
        <w:rPr>
          <w:sz w:val="20"/>
          <w:szCs w:val="20"/>
        </w:rPr>
        <w:t xml:space="preserve">, the Secretariat was able to join the meeting on Monday afternoon and presented a short report. Primarily, this was to update the WG on the options for holding the next WG 1 meeting in conjunction with the upcoming TC 62 plenary meetings in October 2024 in Edinburgh, Scotland. There are no conference rooms available at the venue and our best opportunity is to meet at BSI in London in the few days before TC 62 meets. This will be discussed with BSI and 62A next week. </w:t>
      </w:r>
    </w:p>
    <w:p w14:paraId="6578720D" w14:textId="77777777" w:rsidR="008A65D1" w:rsidRPr="008A65D1" w:rsidRDefault="008A65D1" w:rsidP="008A65D1">
      <w:pPr>
        <w:widowControl w:val="0"/>
        <w:tabs>
          <w:tab w:val="left" w:pos="360"/>
          <w:tab w:val="left" w:pos="1843"/>
        </w:tabs>
        <w:autoSpaceDE w:val="0"/>
        <w:autoSpaceDN w:val="0"/>
        <w:adjustRightInd w:val="0"/>
        <w:spacing w:after="120"/>
        <w:rPr>
          <w:color w:val="000000"/>
          <w:sz w:val="20"/>
          <w:szCs w:val="20"/>
        </w:rPr>
      </w:pPr>
      <w:r w:rsidRPr="008A65D1">
        <w:rPr>
          <w:color w:val="000000"/>
          <w:sz w:val="20"/>
          <w:szCs w:val="20"/>
        </w:rPr>
        <w:t>Regarding OSD, Regina informed the group that Thomas Jakob is the first (in TC 62) to move a project forward (62083) in OSD. Dominik Kowalski is considering using OSD for 63321. Geoff Ibbott will also discuss using OSD for 61217 with Regina, because we will probably have to re-start the project.</w:t>
      </w:r>
    </w:p>
    <w:p w14:paraId="58BC3908" w14:textId="77777777" w:rsidR="008A65D1" w:rsidRPr="008A65D1" w:rsidRDefault="008A65D1" w:rsidP="008A65D1">
      <w:pPr>
        <w:widowControl w:val="0"/>
        <w:tabs>
          <w:tab w:val="left" w:pos="360"/>
          <w:tab w:val="left" w:pos="1843"/>
        </w:tabs>
        <w:autoSpaceDE w:val="0"/>
        <w:autoSpaceDN w:val="0"/>
        <w:adjustRightInd w:val="0"/>
        <w:spacing w:after="120"/>
        <w:rPr>
          <w:sz w:val="20"/>
          <w:szCs w:val="20"/>
        </w:rPr>
      </w:pPr>
      <w:r w:rsidRPr="008A65D1">
        <w:rPr>
          <w:color w:val="000000"/>
          <w:sz w:val="20"/>
          <w:szCs w:val="20"/>
        </w:rPr>
        <w:t xml:space="preserve">Review of late projects/projects at risk of cancellation (IEC 61217, IEC 63321): </w:t>
      </w:r>
      <w:proofErr w:type="gramStart"/>
      <w:r w:rsidRPr="008A65D1">
        <w:rPr>
          <w:sz w:val="20"/>
          <w:szCs w:val="20"/>
        </w:rPr>
        <w:t>All of</w:t>
      </w:r>
      <w:proofErr w:type="gramEnd"/>
      <w:r w:rsidRPr="008A65D1">
        <w:rPr>
          <w:sz w:val="20"/>
          <w:szCs w:val="20"/>
        </w:rPr>
        <w:t xml:space="preserve"> the projects started in 2020 are now “delayed” as they won’t reach FDIS in 5 years.</w:t>
      </w:r>
    </w:p>
    <w:p w14:paraId="47E4DFB7" w14:textId="77777777" w:rsidR="008A65D1" w:rsidRPr="008A65D1" w:rsidRDefault="008A65D1" w:rsidP="008A65D1">
      <w:pPr>
        <w:widowControl w:val="0"/>
        <w:tabs>
          <w:tab w:val="left" w:pos="360"/>
          <w:tab w:val="left" w:pos="1843"/>
        </w:tabs>
        <w:autoSpaceDE w:val="0"/>
        <w:autoSpaceDN w:val="0"/>
        <w:adjustRightInd w:val="0"/>
        <w:spacing w:after="120"/>
        <w:rPr>
          <w:b/>
          <w:bCs/>
          <w:color w:val="000000"/>
          <w:sz w:val="20"/>
          <w:szCs w:val="20"/>
        </w:rPr>
      </w:pPr>
      <w:r w:rsidRPr="008A65D1">
        <w:rPr>
          <w:b/>
          <w:bCs/>
          <w:sz w:val="20"/>
          <w:szCs w:val="20"/>
        </w:rPr>
        <w:t xml:space="preserve">The following projects and documents were </w:t>
      </w:r>
      <w:proofErr w:type="gramStart"/>
      <w:r w:rsidRPr="008A65D1">
        <w:rPr>
          <w:b/>
          <w:bCs/>
          <w:sz w:val="20"/>
          <w:szCs w:val="20"/>
        </w:rPr>
        <w:t>discussed</w:t>
      </w:r>
      <w:proofErr w:type="gramEnd"/>
      <w:r w:rsidRPr="008A65D1">
        <w:rPr>
          <w:b/>
          <w:bCs/>
          <w:sz w:val="20"/>
          <w:szCs w:val="20"/>
        </w:rPr>
        <w:t xml:space="preserve"> and action taken:</w:t>
      </w:r>
    </w:p>
    <w:p w14:paraId="32675A54" w14:textId="77777777" w:rsidR="008A65D1" w:rsidRPr="008A65D1" w:rsidRDefault="008A65D1" w:rsidP="008A65D1">
      <w:pPr>
        <w:widowControl w:val="0"/>
        <w:tabs>
          <w:tab w:val="left" w:pos="360"/>
          <w:tab w:val="left" w:pos="1843"/>
        </w:tabs>
        <w:autoSpaceDE w:val="0"/>
        <w:autoSpaceDN w:val="0"/>
        <w:adjustRightInd w:val="0"/>
        <w:spacing w:after="120"/>
        <w:rPr>
          <w:sz w:val="20"/>
          <w:szCs w:val="20"/>
        </w:rPr>
      </w:pPr>
      <w:r w:rsidRPr="008A65D1">
        <w:rPr>
          <w:b/>
          <w:bCs/>
          <w:sz w:val="20"/>
          <w:szCs w:val="20"/>
        </w:rPr>
        <w:t>IEC 60601-1 Ed 4 WG 46 on Ionizing radiation hazards</w:t>
      </w:r>
      <w:r w:rsidRPr="008A65D1">
        <w:rPr>
          <w:sz w:val="20"/>
          <w:szCs w:val="20"/>
        </w:rPr>
        <w:t>: Thomas Jakob provided an update. This is one of the WGs created to lead the 4</w:t>
      </w:r>
      <w:r w:rsidRPr="008A65D1">
        <w:rPr>
          <w:sz w:val="20"/>
          <w:szCs w:val="20"/>
          <w:vertAlign w:val="superscript"/>
        </w:rPr>
        <w:t>th</w:t>
      </w:r>
      <w:r w:rsidRPr="008A65D1">
        <w:rPr>
          <w:sz w:val="20"/>
          <w:szCs w:val="20"/>
        </w:rPr>
        <w:t xml:space="preserve"> edition of the general standard. Thomas is one of two co-chairs. </w:t>
      </w:r>
    </w:p>
    <w:p w14:paraId="4201231B" w14:textId="77777777" w:rsidR="008A65D1" w:rsidRPr="008A65D1" w:rsidRDefault="008A65D1" w:rsidP="008A65D1">
      <w:pPr>
        <w:widowControl w:val="0"/>
        <w:tabs>
          <w:tab w:val="left" w:pos="360"/>
          <w:tab w:val="left" w:pos="1843"/>
        </w:tabs>
        <w:autoSpaceDE w:val="0"/>
        <w:autoSpaceDN w:val="0"/>
        <w:adjustRightInd w:val="0"/>
        <w:spacing w:after="120"/>
        <w:rPr>
          <w:sz w:val="20"/>
          <w:szCs w:val="20"/>
        </w:rPr>
      </w:pPr>
      <w:r w:rsidRPr="008A65D1">
        <w:rPr>
          <w:b/>
          <w:bCs/>
          <w:sz w:val="20"/>
          <w:szCs w:val="20"/>
        </w:rPr>
        <w:t>IEC 60601-2-1. Amendment for UHDR Radiotherapy (PWI 62C-1):</w:t>
      </w:r>
      <w:r w:rsidRPr="008A65D1">
        <w:rPr>
          <w:sz w:val="20"/>
          <w:szCs w:val="20"/>
        </w:rPr>
        <w:t xml:space="preserve"> Giuseppe </w:t>
      </w:r>
      <w:proofErr w:type="spellStart"/>
      <w:r w:rsidRPr="008A65D1">
        <w:rPr>
          <w:sz w:val="20"/>
          <w:szCs w:val="20"/>
        </w:rPr>
        <w:t>Felici</w:t>
      </w:r>
      <w:proofErr w:type="spellEnd"/>
      <w:r w:rsidRPr="008A65D1">
        <w:rPr>
          <w:sz w:val="20"/>
          <w:szCs w:val="20"/>
        </w:rPr>
        <w:t xml:space="preserve"> had distributed a draft amendment to 60601-2-1, as an alternative to the original proposal which was to prepare a new Part 2 standard. It was agreed to proceed in this fashion. He led a discussion about several aspects of performance of UHDR equipment which led to a lengthy discussion about the precision of dose delivery when only a small number of beam pulses might be delivered. There are also concerns about</w:t>
      </w:r>
      <w:r w:rsidRPr="008A65D1">
        <w:rPr>
          <w:b/>
          <w:bCs/>
          <w:sz w:val="20"/>
          <w:szCs w:val="20"/>
        </w:rPr>
        <w:t xml:space="preserve"> </w:t>
      </w:r>
      <w:r w:rsidRPr="008A65D1">
        <w:rPr>
          <w:sz w:val="20"/>
          <w:szCs w:val="20"/>
        </w:rPr>
        <w:t xml:space="preserve">compliance tests which may not be possible for some </w:t>
      </w:r>
      <w:proofErr w:type="spellStart"/>
      <w:r w:rsidRPr="008A65D1">
        <w:rPr>
          <w:sz w:val="20"/>
          <w:szCs w:val="20"/>
        </w:rPr>
        <w:t>linacs</w:t>
      </w:r>
      <w:proofErr w:type="spellEnd"/>
      <w:r w:rsidRPr="008A65D1">
        <w:rPr>
          <w:sz w:val="20"/>
          <w:szCs w:val="20"/>
        </w:rPr>
        <w:t xml:space="preserve"> to comply with. Giuseppe will begin to work toward a CD.</w:t>
      </w:r>
    </w:p>
    <w:p w14:paraId="40AC8D70" w14:textId="77777777" w:rsidR="008A65D1" w:rsidRPr="008A65D1" w:rsidRDefault="008A65D1" w:rsidP="008A65D1">
      <w:pPr>
        <w:widowControl w:val="0"/>
        <w:tabs>
          <w:tab w:val="left" w:pos="360"/>
          <w:tab w:val="left" w:pos="1843"/>
        </w:tabs>
        <w:autoSpaceDE w:val="0"/>
        <w:autoSpaceDN w:val="0"/>
        <w:adjustRightInd w:val="0"/>
        <w:spacing w:after="120"/>
        <w:rPr>
          <w:sz w:val="20"/>
          <w:szCs w:val="20"/>
        </w:rPr>
      </w:pPr>
      <w:r w:rsidRPr="008A65D1">
        <w:rPr>
          <w:b/>
          <w:bCs/>
          <w:sz w:val="20"/>
          <w:szCs w:val="20"/>
        </w:rPr>
        <w:t>IEC 60601-2-44, CT Safety</w:t>
      </w:r>
      <w:r w:rsidRPr="008A65D1">
        <w:rPr>
          <w:sz w:val="20"/>
          <w:szCs w:val="20"/>
        </w:rPr>
        <w:t xml:space="preserve">.  Kazuo (Elvis) </w:t>
      </w:r>
      <w:proofErr w:type="spellStart"/>
      <w:r w:rsidRPr="008A65D1">
        <w:rPr>
          <w:sz w:val="20"/>
          <w:szCs w:val="20"/>
        </w:rPr>
        <w:t>Tomida</w:t>
      </w:r>
      <w:proofErr w:type="spellEnd"/>
      <w:r w:rsidRPr="008A65D1">
        <w:rPr>
          <w:sz w:val="20"/>
          <w:szCs w:val="20"/>
        </w:rPr>
        <w:t xml:space="preserve"> and Thomas Jakob described discussions held at a meeting of 62B/WG 30 in Tokyo. WG 30 proposes to remove all of clause 201.101 pertaining to radiotherapy. Elvis made a presentation during the meeting arguing to retain the RT provisions. Thomas provided the redline version of the current draft. According to Elvis and Thomas, Andi </w:t>
      </w:r>
      <w:proofErr w:type="spellStart"/>
      <w:r w:rsidRPr="008A65D1">
        <w:rPr>
          <w:sz w:val="20"/>
          <w:szCs w:val="20"/>
        </w:rPr>
        <w:t>Schäller</w:t>
      </w:r>
      <w:proofErr w:type="spellEnd"/>
      <w:r w:rsidRPr="008A65D1">
        <w:rPr>
          <w:sz w:val="20"/>
          <w:szCs w:val="20"/>
        </w:rPr>
        <w:t xml:space="preserve"> says “we don’t know what WG 1 wants.” WG 1 need to provide a clear justification of the values we propose. We should support this with use cases. Wolfgang </w:t>
      </w:r>
      <w:proofErr w:type="spellStart"/>
      <w:r w:rsidRPr="008A65D1">
        <w:rPr>
          <w:sz w:val="20"/>
          <w:szCs w:val="20"/>
        </w:rPr>
        <w:t>Baus</w:t>
      </w:r>
      <w:proofErr w:type="spellEnd"/>
      <w:r w:rsidRPr="008A65D1">
        <w:rPr>
          <w:sz w:val="20"/>
          <w:szCs w:val="20"/>
        </w:rPr>
        <w:t xml:space="preserve"> and Geoff Ibbott will lead this effort.</w:t>
      </w:r>
    </w:p>
    <w:p w14:paraId="36BAD83B" w14:textId="77777777" w:rsidR="008A65D1" w:rsidRPr="008A65D1" w:rsidRDefault="008A65D1" w:rsidP="008A65D1">
      <w:pPr>
        <w:widowControl w:val="0"/>
        <w:tabs>
          <w:tab w:val="left" w:pos="360"/>
          <w:tab w:val="left" w:pos="1843"/>
        </w:tabs>
        <w:autoSpaceDE w:val="0"/>
        <w:autoSpaceDN w:val="0"/>
        <w:adjustRightInd w:val="0"/>
        <w:spacing w:after="120"/>
        <w:rPr>
          <w:rFonts w:ascii="Helvetica" w:hAnsi="Helvetica"/>
          <w:color w:val="000000"/>
          <w:sz w:val="20"/>
          <w:szCs w:val="20"/>
          <w:lang w:eastAsia="en-US"/>
        </w:rPr>
      </w:pPr>
      <w:r w:rsidRPr="008A65D1">
        <w:rPr>
          <w:b/>
          <w:bCs/>
          <w:sz w:val="20"/>
          <w:szCs w:val="20"/>
        </w:rPr>
        <w:t xml:space="preserve">IEC </w:t>
      </w:r>
      <w:r w:rsidRPr="008A65D1">
        <w:rPr>
          <w:rFonts w:ascii="Helvetica" w:hAnsi="Helvetica"/>
          <w:b/>
          <w:bCs/>
          <w:color w:val="000000"/>
          <w:sz w:val="20"/>
          <w:szCs w:val="20"/>
          <w:lang w:eastAsia="en-US"/>
        </w:rPr>
        <w:t>60601-2-64 A1, Light Ion safety. </w:t>
      </w:r>
      <w:r w:rsidRPr="008A65D1">
        <w:rPr>
          <w:rFonts w:ascii="Helvetica" w:hAnsi="Helvetica"/>
          <w:color w:val="000000"/>
          <w:sz w:val="20"/>
          <w:szCs w:val="20"/>
          <w:lang w:eastAsia="en-US"/>
        </w:rPr>
        <w:t xml:space="preserve">Kazuo (“Elvis") </w:t>
      </w:r>
      <w:proofErr w:type="spellStart"/>
      <w:r w:rsidRPr="008A65D1">
        <w:rPr>
          <w:rFonts w:ascii="Helvetica" w:hAnsi="Helvetica"/>
          <w:color w:val="000000"/>
          <w:sz w:val="20"/>
          <w:szCs w:val="20"/>
          <w:lang w:eastAsia="en-US"/>
        </w:rPr>
        <w:t>Tomida</w:t>
      </w:r>
      <w:proofErr w:type="spellEnd"/>
      <w:r w:rsidRPr="008A65D1">
        <w:rPr>
          <w:rFonts w:ascii="Helvetica" w:hAnsi="Helvetica"/>
          <w:color w:val="000000"/>
          <w:sz w:val="20"/>
          <w:szCs w:val="20"/>
          <w:lang w:eastAsia="en-US"/>
        </w:rPr>
        <w:t>. Short discussion on some aspects of 62C/905/CDV for which voting terminates on 3 May. It was agreed to adopt the terms Patient Support and Patient Support Top which were discussed when reviewing 60601-2-93.</w:t>
      </w:r>
    </w:p>
    <w:p w14:paraId="39062168" w14:textId="77777777" w:rsidR="008A65D1" w:rsidRPr="008A65D1" w:rsidRDefault="008A65D1" w:rsidP="008A65D1">
      <w:pPr>
        <w:widowControl w:val="0"/>
        <w:tabs>
          <w:tab w:val="left" w:pos="360"/>
          <w:tab w:val="left" w:pos="1843"/>
        </w:tabs>
        <w:autoSpaceDE w:val="0"/>
        <w:autoSpaceDN w:val="0"/>
        <w:adjustRightInd w:val="0"/>
        <w:spacing w:after="120"/>
        <w:rPr>
          <w:sz w:val="20"/>
          <w:szCs w:val="20"/>
        </w:rPr>
      </w:pPr>
      <w:r w:rsidRPr="008A65D1">
        <w:rPr>
          <w:b/>
          <w:bCs/>
          <w:sz w:val="20"/>
          <w:szCs w:val="20"/>
        </w:rPr>
        <w:t>IEC 60601-2-68 Ed 2. IGRT Safety.</w:t>
      </w:r>
      <w:r w:rsidRPr="008A65D1">
        <w:rPr>
          <w:sz w:val="20"/>
          <w:szCs w:val="20"/>
        </w:rPr>
        <w:t xml:space="preserve"> Thomas Jakob. Thomas discussed the revisions he’d made to the current draft (the “redlines v12” document) in response to the comments received. A long discussion was held on the provision allowing an IGRT system manufacturer not to have to repeat tests of imaging equipment such as a CT scanner if equivalent testing had been performed in compliance with, say, 60601-2-44. A table will be added in an informative annex to list the clauses that are covered by other standards. Discussion was held over whether a pointer to the alternate compliance test could be added at the individual clause level. This was agreed. Much discussion was also held over the requirement to be able to release the patient within 30 sec. </w:t>
      </w:r>
      <w:proofErr w:type="gramStart"/>
      <w:r w:rsidRPr="008A65D1">
        <w:rPr>
          <w:sz w:val="20"/>
          <w:szCs w:val="20"/>
        </w:rPr>
        <w:t>Small</w:t>
      </w:r>
      <w:proofErr w:type="gramEnd"/>
      <w:r w:rsidRPr="008A65D1">
        <w:rPr>
          <w:sz w:val="20"/>
          <w:szCs w:val="20"/>
        </w:rPr>
        <w:t xml:space="preserve"> changes were made to clarify the requirement.</w:t>
      </w:r>
    </w:p>
    <w:p w14:paraId="3B3C61AE" w14:textId="77777777" w:rsidR="008A65D1" w:rsidRPr="008A65D1" w:rsidRDefault="008A65D1" w:rsidP="008A65D1">
      <w:pPr>
        <w:widowControl w:val="0"/>
        <w:tabs>
          <w:tab w:val="left" w:pos="360"/>
          <w:tab w:val="left" w:pos="1843"/>
        </w:tabs>
        <w:autoSpaceDE w:val="0"/>
        <w:autoSpaceDN w:val="0"/>
        <w:adjustRightInd w:val="0"/>
        <w:spacing w:after="120"/>
        <w:rPr>
          <w:sz w:val="20"/>
          <w:szCs w:val="20"/>
        </w:rPr>
      </w:pPr>
      <w:r w:rsidRPr="008A65D1">
        <w:rPr>
          <w:sz w:val="20"/>
          <w:szCs w:val="20"/>
        </w:rPr>
        <w:t>The next step will be a CDV.</w:t>
      </w:r>
    </w:p>
    <w:p w14:paraId="167C3451" w14:textId="77777777" w:rsidR="008A65D1" w:rsidRPr="008A65D1" w:rsidRDefault="008A65D1" w:rsidP="008A65D1">
      <w:pPr>
        <w:widowControl w:val="0"/>
        <w:tabs>
          <w:tab w:val="left" w:pos="360"/>
          <w:tab w:val="left" w:pos="1843"/>
        </w:tabs>
        <w:autoSpaceDE w:val="0"/>
        <w:autoSpaceDN w:val="0"/>
        <w:adjustRightInd w:val="0"/>
        <w:spacing w:after="120"/>
        <w:rPr>
          <w:sz w:val="20"/>
          <w:szCs w:val="20"/>
        </w:rPr>
      </w:pPr>
      <w:r w:rsidRPr="008A65D1">
        <w:rPr>
          <w:b/>
          <w:bCs/>
          <w:sz w:val="20"/>
          <w:szCs w:val="20"/>
        </w:rPr>
        <w:lastRenderedPageBreak/>
        <w:t xml:space="preserve">IEC 60601-2-92. </w:t>
      </w:r>
      <w:proofErr w:type="spellStart"/>
      <w:r w:rsidRPr="008A65D1">
        <w:rPr>
          <w:b/>
          <w:bCs/>
          <w:sz w:val="20"/>
          <w:szCs w:val="20"/>
        </w:rPr>
        <w:t>MRgRT</w:t>
      </w:r>
      <w:proofErr w:type="spellEnd"/>
      <w:r w:rsidRPr="008A65D1">
        <w:rPr>
          <w:b/>
          <w:bCs/>
          <w:sz w:val="20"/>
          <w:szCs w:val="20"/>
        </w:rPr>
        <w:t xml:space="preserve"> Safety</w:t>
      </w:r>
      <w:r w:rsidRPr="008A65D1">
        <w:rPr>
          <w:sz w:val="20"/>
          <w:szCs w:val="20"/>
        </w:rPr>
        <w:t>. Abdul Sayeed. There was discussion of progress toward a WG draft. Ab explained that the standard won’t be limited to imaging as MR guidance can be performed without imaging. He has made progress on a WG draft and is following developments on the X-IGRT standard.</w:t>
      </w:r>
    </w:p>
    <w:p w14:paraId="35EFD4AE" w14:textId="77777777" w:rsidR="008A65D1" w:rsidRPr="008A65D1" w:rsidRDefault="008A65D1" w:rsidP="008A65D1">
      <w:pPr>
        <w:widowControl w:val="0"/>
        <w:tabs>
          <w:tab w:val="left" w:pos="360"/>
          <w:tab w:val="left" w:pos="1843"/>
        </w:tabs>
        <w:autoSpaceDE w:val="0"/>
        <w:autoSpaceDN w:val="0"/>
        <w:adjustRightInd w:val="0"/>
        <w:spacing w:after="120"/>
        <w:rPr>
          <w:sz w:val="20"/>
          <w:szCs w:val="20"/>
        </w:rPr>
      </w:pPr>
      <w:r w:rsidRPr="008A65D1">
        <w:rPr>
          <w:rFonts w:ascii="Helvetica" w:hAnsi="Helvetica"/>
          <w:b/>
          <w:bCs/>
          <w:color w:val="000000"/>
          <w:sz w:val="20"/>
          <w:szCs w:val="20"/>
          <w:lang w:eastAsia="en-US"/>
        </w:rPr>
        <w:t>IEC 60601-2-93, Neutron Capture Therapy. </w:t>
      </w:r>
      <w:r w:rsidRPr="008A65D1">
        <w:rPr>
          <w:rFonts w:ascii="Helvetica" w:hAnsi="Helvetica"/>
          <w:color w:val="000000"/>
          <w:sz w:val="20"/>
          <w:szCs w:val="20"/>
          <w:lang w:eastAsia="en-US"/>
        </w:rPr>
        <w:t xml:space="preserve">Hiroaki </w:t>
      </w:r>
      <w:proofErr w:type="spellStart"/>
      <w:r w:rsidRPr="008A65D1">
        <w:rPr>
          <w:rFonts w:ascii="Helvetica" w:hAnsi="Helvetica"/>
          <w:color w:val="000000"/>
          <w:sz w:val="20"/>
          <w:szCs w:val="20"/>
          <w:lang w:eastAsia="en-US"/>
        </w:rPr>
        <w:t>Kumada</w:t>
      </w:r>
      <w:proofErr w:type="spellEnd"/>
      <w:r w:rsidRPr="008A65D1">
        <w:rPr>
          <w:rFonts w:ascii="Helvetica" w:hAnsi="Helvetica"/>
          <w:color w:val="000000"/>
          <w:sz w:val="20"/>
          <w:szCs w:val="20"/>
          <w:lang w:eastAsia="en-US"/>
        </w:rPr>
        <w:t xml:space="preserve">. The WG conducted a review of the current WG draft. A long discussion was held about the definition of Patient Support. The WG edited the proposed language, and all agreed the result was acceptable. The terms </w:t>
      </w:r>
      <w:proofErr w:type="gramStart"/>
      <w:r w:rsidRPr="008A65D1">
        <w:rPr>
          <w:rFonts w:ascii="Helvetica" w:hAnsi="Helvetica"/>
          <w:color w:val="000000"/>
          <w:sz w:val="20"/>
          <w:szCs w:val="20"/>
          <w:lang w:eastAsia="en-US"/>
        </w:rPr>
        <w:t>Table Top</w:t>
      </w:r>
      <w:proofErr w:type="gramEnd"/>
      <w:r w:rsidRPr="008A65D1">
        <w:rPr>
          <w:rFonts w:ascii="Helvetica" w:hAnsi="Helvetica"/>
          <w:color w:val="000000"/>
          <w:sz w:val="20"/>
          <w:szCs w:val="20"/>
          <w:lang w:eastAsia="en-US"/>
        </w:rPr>
        <w:t xml:space="preserve"> and Table Top Support will be removed and replaced with Patient Support and Patient Support Top. </w:t>
      </w:r>
    </w:p>
    <w:p w14:paraId="4CBED51A" w14:textId="77777777" w:rsidR="008A65D1" w:rsidRPr="008A65D1" w:rsidRDefault="008A65D1" w:rsidP="008A65D1">
      <w:pPr>
        <w:widowControl w:val="0"/>
        <w:tabs>
          <w:tab w:val="left" w:pos="360"/>
          <w:tab w:val="left" w:pos="1843"/>
        </w:tabs>
        <w:autoSpaceDE w:val="0"/>
        <w:autoSpaceDN w:val="0"/>
        <w:adjustRightInd w:val="0"/>
        <w:spacing w:after="120"/>
        <w:rPr>
          <w:sz w:val="20"/>
          <w:szCs w:val="20"/>
        </w:rPr>
      </w:pPr>
      <w:r w:rsidRPr="008A65D1">
        <w:rPr>
          <w:b/>
          <w:bCs/>
          <w:sz w:val="20"/>
          <w:szCs w:val="20"/>
        </w:rPr>
        <w:t>All other Part 2 standards</w:t>
      </w:r>
      <w:r w:rsidRPr="008A65D1">
        <w:rPr>
          <w:sz w:val="20"/>
          <w:szCs w:val="20"/>
        </w:rPr>
        <w:t>. Thomas proposed that we prepare amendments now for the Part 2 standards that have not already been updated, to bring them into compliance with Ed 3.2 of the general standard, because it needs to be done quickly and the remaining amendments will take too long. OSD cannot handle Part 2 standards yet so this will be handled by circulating Word documents.</w:t>
      </w:r>
    </w:p>
    <w:p w14:paraId="500221A2" w14:textId="77777777" w:rsidR="008A65D1" w:rsidRPr="008A65D1" w:rsidRDefault="008A65D1" w:rsidP="008A65D1">
      <w:pPr>
        <w:widowControl w:val="0"/>
        <w:tabs>
          <w:tab w:val="left" w:pos="360"/>
          <w:tab w:val="left" w:pos="1843"/>
        </w:tabs>
        <w:autoSpaceDE w:val="0"/>
        <w:autoSpaceDN w:val="0"/>
        <w:adjustRightInd w:val="0"/>
        <w:spacing w:after="120"/>
        <w:rPr>
          <w:rFonts w:ascii="Helvetica" w:hAnsi="Helvetica"/>
          <w:color w:val="000000"/>
          <w:sz w:val="20"/>
          <w:szCs w:val="20"/>
          <w:lang w:eastAsia="en-US"/>
        </w:rPr>
      </w:pPr>
      <w:r w:rsidRPr="008A65D1">
        <w:rPr>
          <w:b/>
          <w:bCs/>
          <w:sz w:val="20"/>
          <w:szCs w:val="20"/>
        </w:rPr>
        <w:t xml:space="preserve">IEC 60976/60977, </w:t>
      </w:r>
      <w:proofErr w:type="spellStart"/>
      <w:r w:rsidRPr="008A65D1">
        <w:rPr>
          <w:b/>
          <w:bCs/>
          <w:sz w:val="20"/>
          <w:szCs w:val="20"/>
        </w:rPr>
        <w:t>Linac</w:t>
      </w:r>
      <w:proofErr w:type="spellEnd"/>
      <w:r w:rsidRPr="008A65D1">
        <w:rPr>
          <w:b/>
          <w:bCs/>
          <w:sz w:val="20"/>
          <w:szCs w:val="20"/>
        </w:rPr>
        <w:t xml:space="preserve"> performance. </w:t>
      </w:r>
      <w:r w:rsidRPr="008A65D1">
        <w:rPr>
          <w:sz w:val="20"/>
          <w:szCs w:val="20"/>
        </w:rPr>
        <w:t xml:space="preserve">John Allen. John showed an early version of a WG draft that will update 60976. A number of points were </w:t>
      </w:r>
      <w:proofErr w:type="gramStart"/>
      <w:r w:rsidRPr="008A65D1">
        <w:rPr>
          <w:sz w:val="20"/>
          <w:szCs w:val="20"/>
        </w:rPr>
        <w:t>discussed</w:t>
      </w:r>
      <w:proofErr w:type="gramEnd"/>
      <w:r w:rsidRPr="008A65D1">
        <w:rPr>
          <w:sz w:val="20"/>
          <w:szCs w:val="20"/>
        </w:rPr>
        <w:t xml:space="preserve"> and suggestions were made. He will prepare a call for experts to participate in development of a draft for review in the fall.</w:t>
      </w:r>
    </w:p>
    <w:p w14:paraId="7CD11FDC" w14:textId="77777777" w:rsidR="008A65D1" w:rsidRPr="008A65D1" w:rsidRDefault="008A65D1" w:rsidP="008A65D1">
      <w:pPr>
        <w:widowControl w:val="0"/>
        <w:tabs>
          <w:tab w:val="left" w:pos="360"/>
          <w:tab w:val="left" w:pos="1843"/>
        </w:tabs>
        <w:autoSpaceDE w:val="0"/>
        <w:autoSpaceDN w:val="0"/>
        <w:adjustRightInd w:val="0"/>
        <w:spacing w:after="120"/>
        <w:rPr>
          <w:sz w:val="20"/>
          <w:szCs w:val="20"/>
        </w:rPr>
      </w:pPr>
      <w:r w:rsidRPr="008A65D1">
        <w:rPr>
          <w:b/>
          <w:bCs/>
          <w:sz w:val="20"/>
          <w:szCs w:val="20"/>
        </w:rPr>
        <w:t>IEC 61217 Ed 3. Coordinates.</w:t>
      </w:r>
      <w:r w:rsidRPr="008A65D1">
        <w:rPr>
          <w:sz w:val="20"/>
          <w:szCs w:val="20"/>
        </w:rPr>
        <w:t> Geoff Ibbott reviewed the status of the current WG draft. All comments had been addressed but Geoff is having trouble completing modifications to the figures. Some discussion was held regarding the hierarchy of equipment components, and a modification was made based on the discussion. It was agreed that the 3</w:t>
      </w:r>
      <w:r w:rsidRPr="008A65D1">
        <w:rPr>
          <w:sz w:val="20"/>
          <w:szCs w:val="20"/>
          <w:vertAlign w:val="superscript"/>
        </w:rPr>
        <w:t>rd</w:t>
      </w:r>
      <w:r w:rsidRPr="008A65D1">
        <w:rPr>
          <w:sz w:val="20"/>
          <w:szCs w:val="20"/>
        </w:rPr>
        <w:t xml:space="preserve"> Edition would retain the requirements of the 2</w:t>
      </w:r>
      <w:r w:rsidRPr="008A65D1">
        <w:rPr>
          <w:sz w:val="20"/>
          <w:szCs w:val="20"/>
          <w:vertAlign w:val="superscript"/>
        </w:rPr>
        <w:t>nd</w:t>
      </w:r>
      <w:r w:rsidRPr="008A65D1">
        <w:rPr>
          <w:sz w:val="20"/>
          <w:szCs w:val="20"/>
        </w:rPr>
        <w:t xml:space="preserve"> Edition to maintain compatibility with current equipment. Geoff will discuss moving this document to OSD to prepare a CD3.</w:t>
      </w:r>
    </w:p>
    <w:p w14:paraId="7DC03D38" w14:textId="77777777" w:rsidR="008A65D1" w:rsidRPr="008A65D1" w:rsidRDefault="008A65D1" w:rsidP="008A65D1">
      <w:pPr>
        <w:widowControl w:val="0"/>
        <w:tabs>
          <w:tab w:val="left" w:pos="360"/>
          <w:tab w:val="left" w:pos="1843"/>
        </w:tabs>
        <w:autoSpaceDE w:val="0"/>
        <w:autoSpaceDN w:val="0"/>
        <w:adjustRightInd w:val="0"/>
        <w:spacing w:after="120"/>
        <w:rPr>
          <w:sz w:val="20"/>
          <w:szCs w:val="20"/>
        </w:rPr>
      </w:pPr>
      <w:r w:rsidRPr="008A65D1">
        <w:rPr>
          <w:b/>
          <w:bCs/>
          <w:sz w:val="20"/>
          <w:szCs w:val="20"/>
        </w:rPr>
        <w:t>IEC 62083 Ed 3. TPS Safety.</w:t>
      </w:r>
      <w:r w:rsidRPr="008A65D1">
        <w:rPr>
          <w:sz w:val="20"/>
          <w:szCs w:val="20"/>
        </w:rPr>
        <w:t xml:space="preserve"> Thomas Jakob led a discussion of comments to the recent draft of this standard. The review report had been published (62C/907/RR), and the project was re-started as 62C/908/CD. He had reviewed </w:t>
      </w:r>
      <w:proofErr w:type="gramStart"/>
      <w:r w:rsidRPr="008A65D1">
        <w:rPr>
          <w:sz w:val="20"/>
          <w:szCs w:val="20"/>
        </w:rPr>
        <w:t>all of</w:t>
      </w:r>
      <w:proofErr w:type="gramEnd"/>
      <w:r w:rsidRPr="008A65D1">
        <w:rPr>
          <w:sz w:val="20"/>
          <w:szCs w:val="20"/>
        </w:rPr>
        <w:t xml:space="preserve"> the NC comments and addressed most of them. The remaining comments were discussed. Some time was spent on a paragraph in the Scope regarding whether MEE such as a CT scanner incorporated into an IGRT system could be tested against the relevant Part 2 standard, i.e., 60601-2-44, and not require also testing again against 62083. The remaining comments were resolved, and Thomas will prepare a CDV. We recognize that the French translation requires several months so the CDV is unlikely to be circulated before late summer or fall. Therefore, we will expect NC comments to be received in time for discussion at our meeting in April 2025. </w:t>
      </w:r>
    </w:p>
    <w:p w14:paraId="52F988C0" w14:textId="77777777" w:rsidR="008A65D1" w:rsidRPr="008A65D1" w:rsidRDefault="008A65D1" w:rsidP="008A65D1">
      <w:pPr>
        <w:widowControl w:val="0"/>
        <w:tabs>
          <w:tab w:val="left" w:pos="360"/>
          <w:tab w:val="left" w:pos="1843"/>
        </w:tabs>
        <w:autoSpaceDE w:val="0"/>
        <w:autoSpaceDN w:val="0"/>
        <w:adjustRightInd w:val="0"/>
        <w:spacing w:after="120"/>
        <w:rPr>
          <w:rFonts w:ascii="Helvetica" w:hAnsi="Helvetica"/>
          <w:color w:val="000000"/>
          <w:sz w:val="20"/>
          <w:szCs w:val="20"/>
          <w:lang w:eastAsia="en-US"/>
        </w:rPr>
      </w:pPr>
      <w:r w:rsidRPr="008A65D1">
        <w:rPr>
          <w:b/>
          <w:bCs/>
          <w:sz w:val="20"/>
          <w:szCs w:val="20"/>
        </w:rPr>
        <w:t>IEC 62274 Ed 2, Treatment Course Management.</w:t>
      </w:r>
      <w:r w:rsidRPr="008A65D1">
        <w:rPr>
          <w:sz w:val="20"/>
          <w:szCs w:val="20"/>
        </w:rPr>
        <w:t xml:space="preserve"> Abdul Sayeed and Jim Percy have prepared an early </w:t>
      </w:r>
      <w:r w:rsidRPr="008A65D1">
        <w:rPr>
          <w:rFonts w:ascii="Helvetica" w:hAnsi="Helvetica"/>
          <w:color w:val="000000"/>
          <w:sz w:val="20"/>
          <w:szCs w:val="20"/>
          <w:lang w:eastAsia="en-US"/>
        </w:rPr>
        <w:t>draft CD and described the work they’ve performed. They will issue a call for experts to participate in development.</w:t>
      </w:r>
    </w:p>
    <w:p w14:paraId="4A000DE2" w14:textId="77777777" w:rsidR="008A65D1" w:rsidRPr="008A65D1" w:rsidRDefault="008A65D1" w:rsidP="008A65D1">
      <w:pPr>
        <w:widowControl w:val="0"/>
        <w:tabs>
          <w:tab w:val="left" w:pos="360"/>
          <w:tab w:val="left" w:pos="1843"/>
        </w:tabs>
        <w:autoSpaceDE w:val="0"/>
        <w:autoSpaceDN w:val="0"/>
        <w:adjustRightInd w:val="0"/>
        <w:spacing w:after="120"/>
        <w:rPr>
          <w:rFonts w:ascii="Helvetica" w:hAnsi="Helvetica"/>
          <w:color w:val="000000"/>
          <w:sz w:val="20"/>
          <w:szCs w:val="20"/>
          <w:lang w:eastAsia="en-US"/>
        </w:rPr>
      </w:pPr>
      <w:r w:rsidRPr="008A65D1">
        <w:rPr>
          <w:b/>
          <w:bCs/>
          <w:sz w:val="20"/>
          <w:szCs w:val="20"/>
        </w:rPr>
        <w:t xml:space="preserve">IEC </w:t>
      </w:r>
      <w:r w:rsidRPr="008A65D1">
        <w:rPr>
          <w:rFonts w:ascii="Helvetica" w:hAnsi="Helvetica"/>
          <w:b/>
          <w:bCs/>
          <w:color w:val="000000"/>
          <w:sz w:val="20"/>
          <w:szCs w:val="20"/>
          <w:lang w:eastAsia="en-US"/>
        </w:rPr>
        <w:t>63321, IGRT Performance. </w:t>
      </w:r>
      <w:r w:rsidRPr="008A65D1">
        <w:rPr>
          <w:rFonts w:ascii="Helvetica" w:hAnsi="Helvetica"/>
          <w:color w:val="000000"/>
          <w:sz w:val="20"/>
          <w:szCs w:val="20"/>
          <w:lang w:eastAsia="en-US"/>
        </w:rPr>
        <w:t xml:space="preserve">Dominik Kowalski. The current CD has been under review for some time, and the compilation of comments was completed at this meeting. Dominik will submit the CD for conversion into OSD and once that’s done, will begin preparing a CD2. </w:t>
      </w:r>
    </w:p>
    <w:p w14:paraId="7F2172A9" w14:textId="77777777" w:rsidR="008A65D1" w:rsidRPr="008A65D1" w:rsidRDefault="008A65D1" w:rsidP="008A65D1">
      <w:pPr>
        <w:widowControl w:val="0"/>
        <w:tabs>
          <w:tab w:val="left" w:pos="360"/>
          <w:tab w:val="left" w:pos="1843"/>
        </w:tabs>
        <w:autoSpaceDE w:val="0"/>
        <w:autoSpaceDN w:val="0"/>
        <w:adjustRightInd w:val="0"/>
        <w:spacing w:after="120"/>
        <w:rPr>
          <w:sz w:val="20"/>
          <w:szCs w:val="20"/>
        </w:rPr>
      </w:pPr>
      <w:r w:rsidRPr="008A65D1">
        <w:rPr>
          <w:b/>
          <w:bCs/>
          <w:sz w:val="20"/>
          <w:szCs w:val="20"/>
        </w:rPr>
        <w:t>IEC 63322. Source Security.</w:t>
      </w:r>
      <w:r w:rsidRPr="008A65D1">
        <w:rPr>
          <w:sz w:val="20"/>
          <w:szCs w:val="20"/>
        </w:rPr>
        <w:t> Voting on 62C/907/CDV terminates on 31 May. Anita showed a slide presentation that summarized the history that led to initiation of the project. She explained that the draft is organized into a clause that explains the structure of the document, then a clause that addresses requirements for the manufacturer and another clause that lists requirements for the responsible organization. The authors relied heavily on a European standard, EN 1143, that describes test procedures for evaluating the security of safes and ATMs and prescribes a computation that determines the resistance value of a safe (or radioactive source housing) based on the capabilities of tools used to attack it.</w:t>
      </w:r>
    </w:p>
    <w:p w14:paraId="4138BC40" w14:textId="77777777" w:rsidR="008A65D1" w:rsidRPr="008A65D1" w:rsidRDefault="008A65D1" w:rsidP="008A65D1">
      <w:pPr>
        <w:widowControl w:val="0"/>
        <w:tabs>
          <w:tab w:val="left" w:pos="360"/>
          <w:tab w:val="left" w:pos="1843"/>
        </w:tabs>
        <w:autoSpaceDE w:val="0"/>
        <w:autoSpaceDN w:val="0"/>
        <w:adjustRightInd w:val="0"/>
        <w:spacing w:after="120"/>
        <w:rPr>
          <w:sz w:val="20"/>
          <w:szCs w:val="20"/>
        </w:rPr>
      </w:pPr>
      <w:r w:rsidRPr="008A65D1">
        <w:rPr>
          <w:b/>
          <w:bCs/>
          <w:sz w:val="20"/>
          <w:szCs w:val="20"/>
        </w:rPr>
        <w:t>SGRT.</w:t>
      </w:r>
      <w:r w:rsidRPr="008A65D1">
        <w:rPr>
          <w:sz w:val="20"/>
          <w:szCs w:val="20"/>
        </w:rPr>
        <w:t xml:space="preserve"> Lindsay </w:t>
      </w:r>
      <w:proofErr w:type="spellStart"/>
      <w:r w:rsidRPr="008A65D1">
        <w:rPr>
          <w:sz w:val="20"/>
          <w:szCs w:val="20"/>
        </w:rPr>
        <w:t>Tremethick</w:t>
      </w:r>
      <w:proofErr w:type="spellEnd"/>
      <w:r w:rsidRPr="008A65D1">
        <w:rPr>
          <w:sz w:val="20"/>
          <w:szCs w:val="20"/>
        </w:rPr>
        <w:t>. Lindsay gave a short presentation with slides proposing a possible standard in this area. There was discussion about the variety of devices available for SGRT and the rate of development in the field. Lindsay was encouraged to begin work on a PWI and an early WG draft for review in the fall.</w:t>
      </w:r>
    </w:p>
    <w:p w14:paraId="389AAAA8" w14:textId="77777777" w:rsidR="008A65D1" w:rsidRPr="008A65D1" w:rsidRDefault="008A65D1" w:rsidP="008A65D1">
      <w:pPr>
        <w:widowControl w:val="0"/>
        <w:tabs>
          <w:tab w:val="left" w:pos="360"/>
          <w:tab w:val="left" w:pos="1843"/>
        </w:tabs>
        <w:autoSpaceDE w:val="0"/>
        <w:autoSpaceDN w:val="0"/>
        <w:adjustRightInd w:val="0"/>
        <w:spacing w:after="120"/>
        <w:rPr>
          <w:b/>
          <w:bCs/>
          <w:sz w:val="20"/>
          <w:szCs w:val="20"/>
        </w:rPr>
      </w:pPr>
      <w:r w:rsidRPr="008A65D1">
        <w:rPr>
          <w:b/>
          <w:bCs/>
          <w:sz w:val="20"/>
          <w:szCs w:val="20"/>
        </w:rPr>
        <w:t>Other activities during this meeting</w:t>
      </w:r>
    </w:p>
    <w:p w14:paraId="2091CCD8" w14:textId="77777777" w:rsidR="008A65D1" w:rsidRPr="008A65D1" w:rsidRDefault="008A65D1" w:rsidP="008A65D1">
      <w:pPr>
        <w:widowControl w:val="0"/>
        <w:tabs>
          <w:tab w:val="left" w:pos="360"/>
          <w:tab w:val="left" w:pos="1843"/>
        </w:tabs>
        <w:autoSpaceDE w:val="0"/>
        <w:autoSpaceDN w:val="0"/>
        <w:adjustRightInd w:val="0"/>
        <w:spacing w:after="120"/>
        <w:rPr>
          <w:sz w:val="20"/>
          <w:szCs w:val="20"/>
        </w:rPr>
      </w:pPr>
      <w:r w:rsidRPr="008A65D1">
        <w:rPr>
          <w:sz w:val="20"/>
          <w:szCs w:val="20"/>
        </w:rPr>
        <w:t xml:space="preserve">The Working Group was invited to visit the Proton Therapy Center in Leuven on the Wednesday evening. The staff of the center were extremely hospitable and gave both a slide presentation and a tour. This is a </w:t>
      </w:r>
      <w:proofErr w:type="gramStart"/>
      <w:r w:rsidRPr="008A65D1">
        <w:rPr>
          <w:sz w:val="20"/>
          <w:szCs w:val="20"/>
        </w:rPr>
        <w:t>single-room</w:t>
      </w:r>
      <w:proofErr w:type="gramEnd"/>
      <w:r w:rsidRPr="008A65D1">
        <w:rPr>
          <w:sz w:val="20"/>
          <w:szCs w:val="20"/>
        </w:rPr>
        <w:t xml:space="preserve"> center with a gantry that rotates through 220° and has a robotic patient support system. It has </w:t>
      </w:r>
      <w:r w:rsidRPr="008A65D1">
        <w:rPr>
          <w:sz w:val="20"/>
          <w:szCs w:val="20"/>
        </w:rPr>
        <w:lastRenderedPageBreak/>
        <w:t>both an x-ray IGRT system and an SGRT system.</w:t>
      </w:r>
    </w:p>
    <w:p w14:paraId="146C3DD5" w14:textId="77777777" w:rsidR="008A65D1" w:rsidRPr="008A65D1" w:rsidRDefault="008A65D1" w:rsidP="008A65D1">
      <w:pPr>
        <w:widowControl w:val="0"/>
        <w:tabs>
          <w:tab w:val="left" w:pos="360"/>
          <w:tab w:val="left" w:pos="1843"/>
        </w:tabs>
        <w:autoSpaceDE w:val="0"/>
        <w:autoSpaceDN w:val="0"/>
        <w:adjustRightInd w:val="0"/>
        <w:spacing w:after="120"/>
        <w:rPr>
          <w:smallCaps/>
          <w:sz w:val="20"/>
          <w:szCs w:val="20"/>
        </w:rPr>
      </w:pPr>
      <w:r w:rsidRPr="008A65D1">
        <w:rPr>
          <w:sz w:val="20"/>
          <w:szCs w:val="20"/>
        </w:rPr>
        <w:t xml:space="preserve">The WG also visited the IBA factory whose headquarters were close to </w:t>
      </w:r>
      <w:proofErr w:type="spellStart"/>
      <w:r w:rsidRPr="008A65D1">
        <w:rPr>
          <w:sz w:val="20"/>
          <w:szCs w:val="20"/>
        </w:rPr>
        <w:t>Wavre</w:t>
      </w:r>
      <w:proofErr w:type="spellEnd"/>
      <w:r w:rsidRPr="008A65D1">
        <w:rPr>
          <w:sz w:val="20"/>
          <w:szCs w:val="20"/>
        </w:rPr>
        <w:t xml:space="preserve"> in Louvain-la-</w:t>
      </w:r>
      <w:proofErr w:type="spellStart"/>
      <w:r w:rsidRPr="008A65D1">
        <w:rPr>
          <w:sz w:val="20"/>
          <w:szCs w:val="20"/>
        </w:rPr>
        <w:t>Neuve</w:t>
      </w:r>
      <w:proofErr w:type="spellEnd"/>
      <w:r w:rsidRPr="008A65D1">
        <w:rPr>
          <w:sz w:val="20"/>
          <w:szCs w:val="20"/>
        </w:rPr>
        <w:t xml:space="preserve"> for approximately 1-1/2 hours when the power went out at the hotel. During this time, we were able to view the cyclotron assembly hall briefly.</w:t>
      </w:r>
    </w:p>
    <w:p w14:paraId="178CD32C" w14:textId="77777777" w:rsidR="008A65D1" w:rsidRPr="008A65D1" w:rsidRDefault="008A65D1" w:rsidP="008A65D1">
      <w:pPr>
        <w:widowControl w:val="0"/>
        <w:tabs>
          <w:tab w:val="left" w:pos="360"/>
          <w:tab w:val="left" w:pos="1843"/>
        </w:tabs>
        <w:autoSpaceDE w:val="0"/>
        <w:autoSpaceDN w:val="0"/>
        <w:adjustRightInd w:val="0"/>
        <w:spacing w:after="120"/>
        <w:rPr>
          <w:sz w:val="20"/>
          <w:szCs w:val="20"/>
        </w:rPr>
      </w:pPr>
      <w:r w:rsidRPr="008A65D1">
        <w:rPr>
          <w:b/>
          <w:bCs/>
          <w:sz w:val="20"/>
          <w:szCs w:val="20"/>
        </w:rPr>
        <w:t xml:space="preserve">Ad hoc Group 10 on Alignment with ISO 18969: </w:t>
      </w:r>
      <w:r w:rsidRPr="008A65D1">
        <w:rPr>
          <w:sz w:val="20"/>
          <w:szCs w:val="20"/>
        </w:rPr>
        <w:t>Geoff Ibbott attended a virtual meeting of this group at which a plan for development of a standard was discussed at a high level. The chair, Oliver Christ, will meet with the chair of ISO TC 194, Working Group 4, to present our plan. Another virtual meeting of the ad hoc group is planned for mid-May.</w:t>
      </w:r>
    </w:p>
    <w:p w14:paraId="108DFAB5" w14:textId="77777777" w:rsidR="008A65D1" w:rsidRPr="008A65D1" w:rsidRDefault="008A65D1" w:rsidP="008A65D1">
      <w:pPr>
        <w:widowControl w:val="0"/>
        <w:tabs>
          <w:tab w:val="left" w:pos="360"/>
          <w:tab w:val="left" w:pos="1843"/>
        </w:tabs>
        <w:autoSpaceDE w:val="0"/>
        <w:autoSpaceDN w:val="0"/>
        <w:adjustRightInd w:val="0"/>
        <w:spacing w:after="120"/>
        <w:rPr>
          <w:sz w:val="20"/>
          <w:szCs w:val="20"/>
        </w:rPr>
      </w:pPr>
      <w:r w:rsidRPr="008A65D1">
        <w:rPr>
          <w:sz w:val="20"/>
          <w:szCs w:val="20"/>
        </w:rPr>
        <w:t>Respectfully submitted,</w:t>
      </w:r>
    </w:p>
    <w:p w14:paraId="31D79C50" w14:textId="77777777" w:rsidR="008A65D1" w:rsidRPr="008A65D1" w:rsidRDefault="008A65D1" w:rsidP="008A65D1">
      <w:pPr>
        <w:widowControl w:val="0"/>
        <w:tabs>
          <w:tab w:val="left" w:pos="360"/>
          <w:tab w:val="left" w:pos="1843"/>
        </w:tabs>
        <w:autoSpaceDE w:val="0"/>
        <w:autoSpaceDN w:val="0"/>
        <w:adjustRightInd w:val="0"/>
        <w:spacing w:after="120"/>
        <w:rPr>
          <w:sz w:val="20"/>
          <w:szCs w:val="20"/>
        </w:rPr>
      </w:pPr>
      <w:r w:rsidRPr="008A65D1">
        <w:rPr>
          <w:sz w:val="20"/>
          <w:szCs w:val="20"/>
        </w:rPr>
        <w:t>Geoffrey S. Ibbott, Ph.D.,</w:t>
      </w:r>
    </w:p>
    <w:p w14:paraId="3794897F" w14:textId="77777777" w:rsidR="008A65D1" w:rsidRPr="008A65D1" w:rsidRDefault="008A65D1" w:rsidP="008A65D1">
      <w:pPr>
        <w:widowControl w:val="0"/>
        <w:tabs>
          <w:tab w:val="left" w:pos="360"/>
          <w:tab w:val="left" w:pos="1843"/>
        </w:tabs>
        <w:autoSpaceDE w:val="0"/>
        <w:autoSpaceDN w:val="0"/>
        <w:adjustRightInd w:val="0"/>
        <w:spacing w:after="120"/>
        <w:rPr>
          <w:sz w:val="20"/>
          <w:szCs w:val="20"/>
        </w:rPr>
      </w:pPr>
      <w:r w:rsidRPr="008A65D1">
        <w:rPr>
          <w:sz w:val="20"/>
          <w:szCs w:val="20"/>
        </w:rPr>
        <w:t>Convenor, Working Group 1</w:t>
      </w:r>
    </w:p>
    <w:p w14:paraId="586B9E35" w14:textId="77777777" w:rsidR="008A65D1" w:rsidRPr="008A65D1" w:rsidRDefault="008A65D1" w:rsidP="008A65D1">
      <w:pPr>
        <w:spacing w:after="120"/>
        <w:jc w:val="both"/>
        <w:rPr>
          <w:b/>
          <w:bCs/>
          <w:sz w:val="20"/>
          <w:szCs w:val="20"/>
        </w:rPr>
      </w:pPr>
      <w:r w:rsidRPr="008A65D1">
        <w:rPr>
          <w:b/>
          <w:bCs/>
          <w:sz w:val="20"/>
          <w:szCs w:val="20"/>
        </w:rPr>
        <w:t>Appendix: Attendees in person and remote</w:t>
      </w:r>
    </w:p>
    <w:p w14:paraId="352E6781" w14:textId="77777777" w:rsidR="008A65D1" w:rsidRPr="008A65D1" w:rsidRDefault="008A65D1" w:rsidP="008A65D1">
      <w:pPr>
        <w:spacing w:after="120"/>
        <w:jc w:val="both"/>
        <w:rPr>
          <w:sz w:val="20"/>
          <w:szCs w:val="20"/>
        </w:rPr>
      </w:pPr>
    </w:p>
    <w:p w14:paraId="15F1AF87" w14:textId="77777777" w:rsidR="008A65D1" w:rsidRPr="008A65D1" w:rsidRDefault="008A65D1" w:rsidP="008A65D1">
      <w:pPr>
        <w:jc w:val="both"/>
        <w:rPr>
          <w:sz w:val="20"/>
          <w:szCs w:val="20"/>
        </w:rPr>
        <w:sectPr w:rsidR="008A65D1" w:rsidRPr="008A65D1" w:rsidSect="00F85678">
          <w:pgSz w:w="12240" w:h="15840"/>
          <w:pgMar w:top="1440" w:right="1800" w:bottom="1440" w:left="1800" w:header="720" w:footer="720" w:gutter="0"/>
          <w:cols w:space="720"/>
          <w:docGrid w:linePitch="360"/>
        </w:sectPr>
      </w:pPr>
    </w:p>
    <w:p w14:paraId="4CF8D3F4" w14:textId="77777777" w:rsidR="008A65D1" w:rsidRPr="008A65D1" w:rsidRDefault="008A65D1" w:rsidP="008A65D1">
      <w:pPr>
        <w:rPr>
          <w:sz w:val="20"/>
          <w:szCs w:val="20"/>
        </w:rPr>
      </w:pPr>
      <w:r w:rsidRPr="008A65D1">
        <w:rPr>
          <w:sz w:val="20"/>
          <w:szCs w:val="20"/>
        </w:rPr>
        <w:t>Geoffrey Ibbott, Convenor</w:t>
      </w:r>
    </w:p>
    <w:p w14:paraId="00E826C3" w14:textId="77777777" w:rsidR="008A65D1" w:rsidRPr="008A65D1" w:rsidRDefault="008A65D1" w:rsidP="008A65D1">
      <w:pPr>
        <w:rPr>
          <w:sz w:val="20"/>
          <w:szCs w:val="20"/>
        </w:rPr>
      </w:pPr>
      <w:r w:rsidRPr="008A65D1">
        <w:rPr>
          <w:sz w:val="20"/>
          <w:szCs w:val="20"/>
        </w:rPr>
        <w:t xml:space="preserve">Regina </w:t>
      </w:r>
      <w:proofErr w:type="spellStart"/>
      <w:r w:rsidRPr="008A65D1">
        <w:rPr>
          <w:sz w:val="20"/>
          <w:szCs w:val="20"/>
        </w:rPr>
        <w:t>Geierhofer</w:t>
      </w:r>
      <w:proofErr w:type="spellEnd"/>
      <w:r w:rsidRPr="008A65D1">
        <w:rPr>
          <w:sz w:val="20"/>
          <w:szCs w:val="20"/>
        </w:rPr>
        <w:t>, Secretariat</w:t>
      </w:r>
    </w:p>
    <w:p w14:paraId="6523C8A0" w14:textId="77777777" w:rsidR="008A65D1" w:rsidRPr="008A65D1" w:rsidRDefault="008A65D1" w:rsidP="008A65D1">
      <w:pPr>
        <w:rPr>
          <w:sz w:val="20"/>
          <w:szCs w:val="20"/>
        </w:rPr>
      </w:pPr>
      <w:r w:rsidRPr="008A65D1">
        <w:rPr>
          <w:sz w:val="20"/>
          <w:szCs w:val="20"/>
        </w:rPr>
        <w:t>Sebastian Adamczyk</w:t>
      </w:r>
    </w:p>
    <w:p w14:paraId="28D48E66" w14:textId="77777777" w:rsidR="008A65D1" w:rsidRPr="008A65D1" w:rsidRDefault="008A65D1" w:rsidP="008A65D1">
      <w:pPr>
        <w:rPr>
          <w:sz w:val="20"/>
          <w:szCs w:val="20"/>
        </w:rPr>
      </w:pPr>
      <w:r w:rsidRPr="008A65D1">
        <w:rPr>
          <w:sz w:val="20"/>
          <w:szCs w:val="20"/>
        </w:rPr>
        <w:t>Hiroshi Akiyama</w:t>
      </w:r>
    </w:p>
    <w:p w14:paraId="7D67B00C" w14:textId="77777777" w:rsidR="008A65D1" w:rsidRPr="008A65D1" w:rsidRDefault="008A65D1" w:rsidP="008A65D1">
      <w:pPr>
        <w:rPr>
          <w:sz w:val="20"/>
          <w:szCs w:val="20"/>
        </w:rPr>
      </w:pPr>
      <w:r w:rsidRPr="008A65D1">
        <w:rPr>
          <w:sz w:val="20"/>
          <w:szCs w:val="20"/>
        </w:rPr>
        <w:t>John Allen</w:t>
      </w:r>
    </w:p>
    <w:p w14:paraId="0DD9CA21" w14:textId="77777777" w:rsidR="008A65D1" w:rsidRPr="008A65D1" w:rsidRDefault="008A65D1" w:rsidP="008A65D1">
      <w:pPr>
        <w:rPr>
          <w:sz w:val="20"/>
          <w:szCs w:val="20"/>
        </w:rPr>
      </w:pPr>
      <w:r w:rsidRPr="008A65D1">
        <w:rPr>
          <w:sz w:val="20"/>
          <w:szCs w:val="20"/>
        </w:rPr>
        <w:t xml:space="preserve">Giulia </w:t>
      </w:r>
      <w:proofErr w:type="spellStart"/>
      <w:r w:rsidRPr="008A65D1">
        <w:rPr>
          <w:sz w:val="20"/>
          <w:szCs w:val="20"/>
        </w:rPr>
        <w:t>Arico</w:t>
      </w:r>
      <w:proofErr w:type="spellEnd"/>
    </w:p>
    <w:p w14:paraId="772BFA93" w14:textId="77777777" w:rsidR="008A65D1" w:rsidRPr="008A65D1" w:rsidRDefault="008A65D1" w:rsidP="008A65D1">
      <w:pPr>
        <w:rPr>
          <w:sz w:val="20"/>
          <w:szCs w:val="20"/>
        </w:rPr>
      </w:pPr>
      <w:r w:rsidRPr="008A65D1">
        <w:rPr>
          <w:sz w:val="20"/>
          <w:szCs w:val="20"/>
        </w:rPr>
        <w:t xml:space="preserve">Dirk </w:t>
      </w:r>
      <w:proofErr w:type="spellStart"/>
      <w:r w:rsidRPr="008A65D1">
        <w:rPr>
          <w:sz w:val="20"/>
          <w:szCs w:val="20"/>
        </w:rPr>
        <w:t>Bartkowski</w:t>
      </w:r>
      <w:proofErr w:type="spellEnd"/>
    </w:p>
    <w:p w14:paraId="6D38C825" w14:textId="77777777" w:rsidR="008A65D1" w:rsidRPr="008A65D1" w:rsidRDefault="008A65D1" w:rsidP="008A65D1">
      <w:pPr>
        <w:rPr>
          <w:sz w:val="20"/>
          <w:szCs w:val="20"/>
        </w:rPr>
      </w:pPr>
      <w:r w:rsidRPr="008A65D1">
        <w:rPr>
          <w:sz w:val="20"/>
          <w:szCs w:val="20"/>
        </w:rPr>
        <w:t xml:space="preserve">Wolfgang </w:t>
      </w:r>
      <w:proofErr w:type="spellStart"/>
      <w:r w:rsidRPr="008A65D1">
        <w:rPr>
          <w:sz w:val="20"/>
          <w:szCs w:val="20"/>
        </w:rPr>
        <w:t>Baus</w:t>
      </w:r>
      <w:proofErr w:type="spellEnd"/>
    </w:p>
    <w:p w14:paraId="36631F44" w14:textId="77777777" w:rsidR="008A65D1" w:rsidRPr="008A65D1" w:rsidRDefault="008A65D1" w:rsidP="008A65D1">
      <w:pPr>
        <w:rPr>
          <w:sz w:val="20"/>
          <w:szCs w:val="20"/>
        </w:rPr>
      </w:pPr>
      <w:r w:rsidRPr="008A65D1">
        <w:rPr>
          <w:sz w:val="20"/>
          <w:szCs w:val="20"/>
        </w:rPr>
        <w:t xml:space="preserve">Luca </w:t>
      </w:r>
      <w:proofErr w:type="spellStart"/>
      <w:r w:rsidRPr="008A65D1">
        <w:rPr>
          <w:sz w:val="20"/>
          <w:szCs w:val="20"/>
        </w:rPr>
        <w:t>Benini</w:t>
      </w:r>
      <w:proofErr w:type="spellEnd"/>
    </w:p>
    <w:p w14:paraId="13B335DE" w14:textId="77777777" w:rsidR="008A65D1" w:rsidRPr="008A65D1" w:rsidRDefault="008A65D1" w:rsidP="008A65D1">
      <w:pPr>
        <w:rPr>
          <w:sz w:val="20"/>
          <w:szCs w:val="20"/>
        </w:rPr>
      </w:pPr>
      <w:r w:rsidRPr="008A65D1">
        <w:rPr>
          <w:sz w:val="20"/>
          <w:szCs w:val="20"/>
        </w:rPr>
        <w:t xml:space="preserve">Caterina </w:t>
      </w:r>
      <w:proofErr w:type="spellStart"/>
      <w:r w:rsidRPr="008A65D1">
        <w:rPr>
          <w:sz w:val="20"/>
          <w:szCs w:val="20"/>
        </w:rPr>
        <w:t>Brusasco</w:t>
      </w:r>
      <w:proofErr w:type="spellEnd"/>
    </w:p>
    <w:p w14:paraId="5D264809" w14:textId="77777777" w:rsidR="008A65D1" w:rsidRPr="008A65D1" w:rsidRDefault="008A65D1" w:rsidP="008A65D1">
      <w:pPr>
        <w:rPr>
          <w:sz w:val="20"/>
          <w:szCs w:val="20"/>
        </w:rPr>
      </w:pPr>
      <w:r w:rsidRPr="008A65D1">
        <w:rPr>
          <w:sz w:val="20"/>
          <w:szCs w:val="20"/>
        </w:rPr>
        <w:t>Rohan Chaudhari</w:t>
      </w:r>
    </w:p>
    <w:p w14:paraId="20A65890" w14:textId="77777777" w:rsidR="008A65D1" w:rsidRPr="008A65D1" w:rsidRDefault="008A65D1" w:rsidP="008A65D1">
      <w:pPr>
        <w:rPr>
          <w:sz w:val="20"/>
          <w:szCs w:val="20"/>
        </w:rPr>
      </w:pPr>
      <w:r w:rsidRPr="008A65D1">
        <w:rPr>
          <w:sz w:val="20"/>
          <w:szCs w:val="20"/>
        </w:rPr>
        <w:t>Henri Ergo</w:t>
      </w:r>
    </w:p>
    <w:p w14:paraId="28A0573E" w14:textId="77777777" w:rsidR="008A65D1" w:rsidRPr="008A65D1" w:rsidRDefault="008A65D1" w:rsidP="008A65D1">
      <w:pPr>
        <w:rPr>
          <w:sz w:val="20"/>
          <w:szCs w:val="20"/>
        </w:rPr>
      </w:pPr>
      <w:r w:rsidRPr="008A65D1">
        <w:rPr>
          <w:sz w:val="20"/>
          <w:szCs w:val="20"/>
        </w:rPr>
        <w:t xml:space="preserve">Giuseppe </w:t>
      </w:r>
      <w:proofErr w:type="spellStart"/>
      <w:r w:rsidRPr="008A65D1">
        <w:rPr>
          <w:sz w:val="20"/>
          <w:szCs w:val="20"/>
        </w:rPr>
        <w:t>Felici</w:t>
      </w:r>
      <w:proofErr w:type="spellEnd"/>
    </w:p>
    <w:p w14:paraId="2A3FB194" w14:textId="77777777" w:rsidR="008A65D1" w:rsidRPr="008A65D1" w:rsidRDefault="008A65D1" w:rsidP="008A65D1">
      <w:pPr>
        <w:rPr>
          <w:sz w:val="20"/>
          <w:szCs w:val="20"/>
        </w:rPr>
      </w:pPr>
      <w:r w:rsidRPr="008A65D1">
        <w:rPr>
          <w:sz w:val="20"/>
          <w:szCs w:val="20"/>
        </w:rPr>
        <w:t xml:space="preserve">Hiroshi </w:t>
      </w:r>
      <w:proofErr w:type="spellStart"/>
      <w:r w:rsidRPr="008A65D1">
        <w:rPr>
          <w:sz w:val="20"/>
          <w:szCs w:val="20"/>
        </w:rPr>
        <w:t>Igaki</w:t>
      </w:r>
      <w:proofErr w:type="spellEnd"/>
    </w:p>
    <w:p w14:paraId="688C3C40" w14:textId="77777777" w:rsidR="008A65D1" w:rsidRPr="008A65D1" w:rsidRDefault="008A65D1" w:rsidP="008A65D1">
      <w:pPr>
        <w:rPr>
          <w:sz w:val="20"/>
          <w:szCs w:val="20"/>
        </w:rPr>
      </w:pPr>
      <w:r w:rsidRPr="008A65D1">
        <w:rPr>
          <w:sz w:val="20"/>
          <w:szCs w:val="20"/>
        </w:rPr>
        <w:t>Thomas Jakob</w:t>
      </w:r>
    </w:p>
    <w:p w14:paraId="66F05A02" w14:textId="77777777" w:rsidR="008A65D1" w:rsidRPr="008A65D1" w:rsidRDefault="008A65D1" w:rsidP="008A65D1">
      <w:pPr>
        <w:rPr>
          <w:sz w:val="20"/>
          <w:szCs w:val="20"/>
        </w:rPr>
      </w:pPr>
      <w:r w:rsidRPr="008A65D1">
        <w:rPr>
          <w:sz w:val="20"/>
          <w:szCs w:val="20"/>
        </w:rPr>
        <w:t xml:space="preserve">Kari </w:t>
      </w:r>
      <w:proofErr w:type="spellStart"/>
      <w:r w:rsidRPr="008A65D1">
        <w:rPr>
          <w:sz w:val="20"/>
          <w:szCs w:val="20"/>
        </w:rPr>
        <w:t>Jyrkkala</w:t>
      </w:r>
      <w:proofErr w:type="spellEnd"/>
    </w:p>
    <w:p w14:paraId="2DB9FB1C" w14:textId="77777777" w:rsidR="008A65D1" w:rsidRPr="008A65D1" w:rsidRDefault="008A65D1" w:rsidP="008A65D1">
      <w:pPr>
        <w:rPr>
          <w:sz w:val="20"/>
          <w:szCs w:val="20"/>
        </w:rPr>
      </w:pPr>
      <w:r w:rsidRPr="008A65D1">
        <w:rPr>
          <w:sz w:val="20"/>
          <w:szCs w:val="20"/>
        </w:rPr>
        <w:t>Yuji Kikuchi</w:t>
      </w:r>
    </w:p>
    <w:p w14:paraId="52E328BA" w14:textId="77777777" w:rsidR="008A65D1" w:rsidRPr="008A65D1" w:rsidRDefault="008A65D1" w:rsidP="008A65D1">
      <w:pPr>
        <w:rPr>
          <w:sz w:val="20"/>
          <w:szCs w:val="20"/>
        </w:rPr>
      </w:pPr>
      <w:r w:rsidRPr="008A65D1">
        <w:rPr>
          <w:sz w:val="20"/>
          <w:szCs w:val="20"/>
        </w:rPr>
        <w:t xml:space="preserve">Peter </w:t>
      </w:r>
      <w:proofErr w:type="spellStart"/>
      <w:r w:rsidRPr="008A65D1">
        <w:rPr>
          <w:sz w:val="20"/>
          <w:szCs w:val="20"/>
        </w:rPr>
        <w:t>Grübling</w:t>
      </w:r>
      <w:proofErr w:type="spellEnd"/>
    </w:p>
    <w:p w14:paraId="6F9E5351" w14:textId="77777777" w:rsidR="008A65D1" w:rsidRPr="008A65D1" w:rsidRDefault="008A65D1" w:rsidP="008A65D1">
      <w:pPr>
        <w:rPr>
          <w:sz w:val="20"/>
          <w:szCs w:val="20"/>
        </w:rPr>
      </w:pPr>
      <w:proofErr w:type="spellStart"/>
      <w:r w:rsidRPr="008A65D1">
        <w:rPr>
          <w:sz w:val="20"/>
          <w:szCs w:val="20"/>
        </w:rPr>
        <w:t>HsinLu</w:t>
      </w:r>
      <w:proofErr w:type="spellEnd"/>
      <w:r w:rsidRPr="008A65D1">
        <w:rPr>
          <w:sz w:val="20"/>
          <w:szCs w:val="20"/>
        </w:rPr>
        <w:t xml:space="preserve"> Hsu</w:t>
      </w:r>
    </w:p>
    <w:p w14:paraId="27EF2BE9" w14:textId="77777777" w:rsidR="008A65D1" w:rsidRPr="008A65D1" w:rsidRDefault="008A65D1" w:rsidP="008A65D1">
      <w:pPr>
        <w:rPr>
          <w:sz w:val="20"/>
          <w:szCs w:val="20"/>
        </w:rPr>
      </w:pPr>
      <w:r w:rsidRPr="008A65D1">
        <w:rPr>
          <w:sz w:val="20"/>
          <w:szCs w:val="20"/>
        </w:rPr>
        <w:t>Dominik Kowalski</w:t>
      </w:r>
    </w:p>
    <w:p w14:paraId="1D744943" w14:textId="77777777" w:rsidR="008A65D1" w:rsidRPr="008A65D1" w:rsidRDefault="008A65D1" w:rsidP="008A65D1">
      <w:pPr>
        <w:rPr>
          <w:sz w:val="20"/>
          <w:szCs w:val="20"/>
        </w:rPr>
      </w:pPr>
      <w:r w:rsidRPr="008A65D1">
        <w:rPr>
          <w:sz w:val="20"/>
          <w:szCs w:val="20"/>
        </w:rPr>
        <w:t xml:space="preserve">Hiroaki </w:t>
      </w:r>
      <w:proofErr w:type="spellStart"/>
      <w:r w:rsidRPr="008A65D1">
        <w:rPr>
          <w:sz w:val="20"/>
          <w:szCs w:val="20"/>
        </w:rPr>
        <w:t>Kumada</w:t>
      </w:r>
      <w:proofErr w:type="spellEnd"/>
    </w:p>
    <w:p w14:paraId="112B4AFC" w14:textId="77777777" w:rsidR="008A65D1" w:rsidRPr="008A65D1" w:rsidRDefault="008A65D1" w:rsidP="008A65D1">
      <w:pPr>
        <w:rPr>
          <w:sz w:val="20"/>
          <w:szCs w:val="20"/>
        </w:rPr>
      </w:pPr>
      <w:r w:rsidRPr="008A65D1">
        <w:rPr>
          <w:sz w:val="20"/>
          <w:szCs w:val="20"/>
        </w:rPr>
        <w:t>Pratik Kumar</w:t>
      </w:r>
    </w:p>
    <w:p w14:paraId="44E86F80" w14:textId="77777777" w:rsidR="008A65D1" w:rsidRPr="008A65D1" w:rsidRDefault="008A65D1" w:rsidP="008A65D1">
      <w:pPr>
        <w:rPr>
          <w:sz w:val="20"/>
          <w:szCs w:val="20"/>
        </w:rPr>
      </w:pPr>
      <w:r w:rsidRPr="008A65D1">
        <w:rPr>
          <w:sz w:val="20"/>
          <w:szCs w:val="20"/>
        </w:rPr>
        <w:t xml:space="preserve">Inger-Lena </w:t>
      </w:r>
      <w:proofErr w:type="spellStart"/>
      <w:r w:rsidRPr="008A65D1">
        <w:rPr>
          <w:sz w:val="20"/>
          <w:szCs w:val="20"/>
        </w:rPr>
        <w:t>Lamm</w:t>
      </w:r>
      <w:proofErr w:type="spellEnd"/>
    </w:p>
    <w:p w14:paraId="240A660E" w14:textId="77777777" w:rsidR="008A65D1" w:rsidRPr="008A65D1" w:rsidRDefault="008A65D1" w:rsidP="008A65D1">
      <w:pPr>
        <w:rPr>
          <w:sz w:val="20"/>
          <w:szCs w:val="20"/>
        </w:rPr>
      </w:pPr>
      <w:r w:rsidRPr="008A65D1">
        <w:rPr>
          <w:sz w:val="20"/>
          <w:szCs w:val="20"/>
        </w:rPr>
        <w:t>Ge Liu</w:t>
      </w:r>
    </w:p>
    <w:p w14:paraId="3DF9F7C9" w14:textId="77777777" w:rsidR="008A65D1" w:rsidRPr="008A65D1" w:rsidRDefault="008A65D1" w:rsidP="008A65D1">
      <w:pPr>
        <w:rPr>
          <w:sz w:val="20"/>
          <w:szCs w:val="20"/>
        </w:rPr>
      </w:pPr>
      <w:r w:rsidRPr="008A65D1">
        <w:rPr>
          <w:sz w:val="20"/>
          <w:szCs w:val="20"/>
        </w:rPr>
        <w:t xml:space="preserve">Raphael </w:t>
      </w:r>
      <w:proofErr w:type="spellStart"/>
      <w:r w:rsidRPr="008A65D1">
        <w:rPr>
          <w:sz w:val="20"/>
          <w:szCs w:val="20"/>
        </w:rPr>
        <w:t>Moeckli</w:t>
      </w:r>
      <w:proofErr w:type="spellEnd"/>
    </w:p>
    <w:p w14:paraId="39A3A58C" w14:textId="77777777" w:rsidR="008A65D1" w:rsidRPr="008A65D1" w:rsidRDefault="008A65D1" w:rsidP="008A65D1">
      <w:pPr>
        <w:rPr>
          <w:sz w:val="20"/>
          <w:szCs w:val="20"/>
        </w:rPr>
      </w:pPr>
      <w:r w:rsidRPr="008A65D1">
        <w:rPr>
          <w:sz w:val="20"/>
          <w:szCs w:val="20"/>
        </w:rPr>
        <w:t>Michael Moyers</w:t>
      </w:r>
    </w:p>
    <w:p w14:paraId="5612C94B" w14:textId="77777777" w:rsidR="008A65D1" w:rsidRPr="008A65D1" w:rsidRDefault="008A65D1" w:rsidP="008A65D1">
      <w:pPr>
        <w:rPr>
          <w:sz w:val="20"/>
          <w:szCs w:val="20"/>
        </w:rPr>
      </w:pPr>
      <w:r w:rsidRPr="008A65D1">
        <w:rPr>
          <w:sz w:val="20"/>
          <w:szCs w:val="20"/>
        </w:rPr>
        <w:t xml:space="preserve">Tetsuya </w:t>
      </w:r>
      <w:proofErr w:type="spellStart"/>
      <w:r w:rsidRPr="008A65D1">
        <w:rPr>
          <w:sz w:val="20"/>
          <w:szCs w:val="20"/>
        </w:rPr>
        <w:t>Mukawa</w:t>
      </w:r>
      <w:proofErr w:type="spellEnd"/>
    </w:p>
    <w:p w14:paraId="29C12F7E" w14:textId="77777777" w:rsidR="008A65D1" w:rsidRPr="008A65D1" w:rsidRDefault="008A65D1" w:rsidP="008A65D1">
      <w:pPr>
        <w:rPr>
          <w:sz w:val="20"/>
          <w:szCs w:val="20"/>
        </w:rPr>
      </w:pPr>
      <w:proofErr w:type="spellStart"/>
      <w:r w:rsidRPr="008A65D1">
        <w:rPr>
          <w:sz w:val="20"/>
          <w:szCs w:val="20"/>
        </w:rPr>
        <w:t>Masaro</w:t>
      </w:r>
      <w:proofErr w:type="spellEnd"/>
      <w:r w:rsidRPr="008A65D1">
        <w:rPr>
          <w:sz w:val="20"/>
          <w:szCs w:val="20"/>
        </w:rPr>
        <w:t xml:space="preserve"> Nakamura</w:t>
      </w:r>
    </w:p>
    <w:p w14:paraId="7347C82A" w14:textId="77777777" w:rsidR="008A65D1" w:rsidRPr="008A65D1" w:rsidRDefault="008A65D1" w:rsidP="008A65D1">
      <w:pPr>
        <w:rPr>
          <w:sz w:val="20"/>
          <w:szCs w:val="20"/>
        </w:rPr>
      </w:pPr>
      <w:r w:rsidRPr="008A65D1">
        <w:rPr>
          <w:sz w:val="20"/>
          <w:szCs w:val="20"/>
        </w:rPr>
        <w:t>Satoshi Nakamura</w:t>
      </w:r>
    </w:p>
    <w:p w14:paraId="23D6F9D5" w14:textId="77777777" w:rsidR="008A65D1" w:rsidRPr="008A65D1" w:rsidRDefault="008A65D1" w:rsidP="008A65D1">
      <w:pPr>
        <w:rPr>
          <w:sz w:val="20"/>
          <w:szCs w:val="20"/>
        </w:rPr>
      </w:pPr>
      <w:r w:rsidRPr="008A65D1">
        <w:rPr>
          <w:sz w:val="20"/>
          <w:szCs w:val="20"/>
        </w:rPr>
        <w:t>Anita Nilsson</w:t>
      </w:r>
    </w:p>
    <w:p w14:paraId="093B1C8D" w14:textId="77777777" w:rsidR="008A65D1" w:rsidRPr="008A65D1" w:rsidRDefault="008A65D1" w:rsidP="008A65D1">
      <w:pPr>
        <w:rPr>
          <w:sz w:val="20"/>
          <w:szCs w:val="20"/>
        </w:rPr>
      </w:pPr>
      <w:r w:rsidRPr="008A65D1">
        <w:rPr>
          <w:sz w:val="20"/>
          <w:szCs w:val="20"/>
        </w:rPr>
        <w:t>Anna Olsson</w:t>
      </w:r>
    </w:p>
    <w:p w14:paraId="3BC2FB3B" w14:textId="77777777" w:rsidR="008A65D1" w:rsidRPr="008A65D1" w:rsidRDefault="008A65D1" w:rsidP="008A65D1">
      <w:pPr>
        <w:rPr>
          <w:sz w:val="20"/>
          <w:szCs w:val="20"/>
        </w:rPr>
      </w:pPr>
      <w:r w:rsidRPr="008A65D1">
        <w:rPr>
          <w:sz w:val="20"/>
          <w:szCs w:val="20"/>
        </w:rPr>
        <w:t xml:space="preserve">Jake </w:t>
      </w:r>
      <w:proofErr w:type="spellStart"/>
      <w:r w:rsidRPr="008A65D1">
        <w:rPr>
          <w:sz w:val="20"/>
          <w:szCs w:val="20"/>
        </w:rPr>
        <w:t>Pensavalle</w:t>
      </w:r>
      <w:proofErr w:type="spellEnd"/>
    </w:p>
    <w:p w14:paraId="422CCE24" w14:textId="77777777" w:rsidR="008A65D1" w:rsidRPr="008A65D1" w:rsidRDefault="008A65D1" w:rsidP="008A65D1">
      <w:pPr>
        <w:rPr>
          <w:sz w:val="20"/>
          <w:szCs w:val="20"/>
        </w:rPr>
      </w:pPr>
      <w:r w:rsidRPr="008A65D1">
        <w:rPr>
          <w:sz w:val="20"/>
          <w:szCs w:val="20"/>
        </w:rPr>
        <w:t>Abdul Sayeed</w:t>
      </w:r>
    </w:p>
    <w:p w14:paraId="4BED0E66" w14:textId="77777777" w:rsidR="008A65D1" w:rsidRPr="008A65D1" w:rsidRDefault="008A65D1" w:rsidP="008A65D1">
      <w:pPr>
        <w:rPr>
          <w:sz w:val="20"/>
          <w:szCs w:val="20"/>
        </w:rPr>
      </w:pPr>
      <w:r w:rsidRPr="008A65D1">
        <w:rPr>
          <w:sz w:val="20"/>
          <w:szCs w:val="20"/>
        </w:rPr>
        <w:t xml:space="preserve">Markus </w:t>
      </w:r>
      <w:proofErr w:type="spellStart"/>
      <w:r w:rsidRPr="008A65D1">
        <w:rPr>
          <w:sz w:val="20"/>
          <w:szCs w:val="20"/>
        </w:rPr>
        <w:t>Schwoerer-Böhning</w:t>
      </w:r>
      <w:proofErr w:type="spellEnd"/>
    </w:p>
    <w:p w14:paraId="604E384B" w14:textId="77777777" w:rsidR="008A65D1" w:rsidRPr="008A65D1" w:rsidRDefault="008A65D1" w:rsidP="008A65D1">
      <w:pPr>
        <w:rPr>
          <w:sz w:val="20"/>
          <w:szCs w:val="20"/>
        </w:rPr>
      </w:pPr>
      <w:r w:rsidRPr="008A65D1">
        <w:rPr>
          <w:sz w:val="20"/>
          <w:szCs w:val="20"/>
        </w:rPr>
        <w:t xml:space="preserve">Jeffrey </w:t>
      </w:r>
      <w:proofErr w:type="spellStart"/>
      <w:r w:rsidRPr="008A65D1">
        <w:rPr>
          <w:sz w:val="20"/>
          <w:szCs w:val="20"/>
        </w:rPr>
        <w:t>Siebers</w:t>
      </w:r>
      <w:proofErr w:type="spellEnd"/>
    </w:p>
    <w:p w14:paraId="33D27BE6" w14:textId="77777777" w:rsidR="008A65D1" w:rsidRPr="008A65D1" w:rsidRDefault="008A65D1" w:rsidP="008A65D1">
      <w:pPr>
        <w:rPr>
          <w:sz w:val="20"/>
          <w:szCs w:val="20"/>
        </w:rPr>
      </w:pPr>
      <w:r w:rsidRPr="008A65D1">
        <w:rPr>
          <w:sz w:val="20"/>
          <w:szCs w:val="20"/>
        </w:rPr>
        <w:t>Hiroki Tanaka</w:t>
      </w:r>
    </w:p>
    <w:p w14:paraId="2CE7FA8D" w14:textId="77777777" w:rsidR="008A65D1" w:rsidRPr="008A65D1" w:rsidRDefault="008A65D1" w:rsidP="008A65D1">
      <w:pPr>
        <w:rPr>
          <w:sz w:val="20"/>
          <w:szCs w:val="20"/>
        </w:rPr>
      </w:pPr>
      <w:r w:rsidRPr="008A65D1">
        <w:rPr>
          <w:sz w:val="20"/>
          <w:szCs w:val="20"/>
        </w:rPr>
        <w:t xml:space="preserve">Kazuo </w:t>
      </w:r>
      <w:proofErr w:type="spellStart"/>
      <w:r w:rsidRPr="008A65D1">
        <w:rPr>
          <w:sz w:val="20"/>
          <w:szCs w:val="20"/>
        </w:rPr>
        <w:t>Tomida</w:t>
      </w:r>
      <w:proofErr w:type="spellEnd"/>
    </w:p>
    <w:p w14:paraId="5A83BE73" w14:textId="77777777" w:rsidR="008A65D1" w:rsidRPr="008A65D1" w:rsidRDefault="008A65D1" w:rsidP="008A65D1">
      <w:pPr>
        <w:rPr>
          <w:sz w:val="20"/>
          <w:szCs w:val="20"/>
        </w:rPr>
      </w:pPr>
      <w:r w:rsidRPr="008A65D1">
        <w:rPr>
          <w:sz w:val="20"/>
          <w:szCs w:val="20"/>
        </w:rPr>
        <w:t xml:space="preserve">Lindsay </w:t>
      </w:r>
      <w:proofErr w:type="spellStart"/>
      <w:r w:rsidRPr="008A65D1">
        <w:rPr>
          <w:sz w:val="20"/>
          <w:szCs w:val="20"/>
        </w:rPr>
        <w:t>Tremethick</w:t>
      </w:r>
      <w:proofErr w:type="spellEnd"/>
    </w:p>
    <w:p w14:paraId="0B2E29B5" w14:textId="77777777" w:rsidR="008A65D1" w:rsidRPr="008A65D1" w:rsidRDefault="008A65D1" w:rsidP="008A65D1">
      <w:pPr>
        <w:rPr>
          <w:sz w:val="20"/>
          <w:szCs w:val="20"/>
        </w:rPr>
      </w:pPr>
      <w:r w:rsidRPr="008A65D1">
        <w:rPr>
          <w:sz w:val="20"/>
          <w:szCs w:val="20"/>
        </w:rPr>
        <w:t xml:space="preserve">David </w:t>
      </w:r>
      <w:proofErr w:type="spellStart"/>
      <w:r w:rsidRPr="008A65D1">
        <w:rPr>
          <w:sz w:val="20"/>
          <w:szCs w:val="20"/>
        </w:rPr>
        <w:t>Whittum</w:t>
      </w:r>
      <w:proofErr w:type="spellEnd"/>
    </w:p>
    <w:p w14:paraId="0502B5C3" w14:textId="77777777" w:rsidR="008A65D1" w:rsidRPr="008A65D1" w:rsidRDefault="008A65D1" w:rsidP="008A65D1">
      <w:pPr>
        <w:rPr>
          <w:sz w:val="20"/>
          <w:szCs w:val="20"/>
        </w:rPr>
      </w:pPr>
      <w:r w:rsidRPr="008A65D1">
        <w:rPr>
          <w:sz w:val="20"/>
          <w:szCs w:val="20"/>
        </w:rPr>
        <w:t xml:space="preserve">David </w:t>
      </w:r>
      <w:proofErr w:type="spellStart"/>
      <w:r w:rsidRPr="008A65D1">
        <w:rPr>
          <w:sz w:val="20"/>
          <w:szCs w:val="20"/>
        </w:rPr>
        <w:t>Wikler</w:t>
      </w:r>
      <w:proofErr w:type="spellEnd"/>
    </w:p>
    <w:p w14:paraId="5403A55F" w14:textId="77777777" w:rsidR="008A65D1" w:rsidRPr="008A65D1" w:rsidRDefault="008A65D1" w:rsidP="008A65D1">
      <w:pPr>
        <w:rPr>
          <w:sz w:val="20"/>
          <w:szCs w:val="20"/>
        </w:rPr>
      </w:pPr>
      <w:r w:rsidRPr="008A65D1">
        <w:rPr>
          <w:sz w:val="20"/>
          <w:szCs w:val="20"/>
        </w:rPr>
        <w:t xml:space="preserve">Laurent </w:t>
      </w:r>
      <w:proofErr w:type="spellStart"/>
      <w:r w:rsidRPr="008A65D1">
        <w:rPr>
          <w:sz w:val="20"/>
          <w:szCs w:val="20"/>
        </w:rPr>
        <w:t>Willemet</w:t>
      </w:r>
      <w:proofErr w:type="spellEnd"/>
    </w:p>
    <w:p w14:paraId="36B4AF41" w14:textId="3377CC9F" w:rsidR="003164D9" w:rsidRPr="008A65D1" w:rsidRDefault="008A65D1" w:rsidP="008A65D1">
      <w:pPr>
        <w:rPr>
          <w:sz w:val="20"/>
          <w:szCs w:val="20"/>
        </w:rPr>
      </w:pPr>
      <w:r w:rsidRPr="008A65D1">
        <w:rPr>
          <w:sz w:val="20"/>
          <w:szCs w:val="20"/>
        </w:rPr>
        <w:t>Iseki Yasushi</w:t>
      </w:r>
    </w:p>
    <w:p w14:paraId="0F977520" w14:textId="77777777" w:rsidR="008A65D1" w:rsidRPr="008A65D1" w:rsidRDefault="008A65D1">
      <w:pPr>
        <w:rPr>
          <w:sz w:val="20"/>
          <w:szCs w:val="20"/>
        </w:rPr>
      </w:pPr>
    </w:p>
    <w:sectPr w:rsidR="008A65D1" w:rsidRPr="008A65D1" w:rsidSect="00F85678">
      <w:type w:val="continuous"/>
      <w:pgSz w:w="12240" w:h="15840"/>
      <w:pgMar w:top="1440" w:right="1800" w:bottom="1440" w:left="180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34C8" w14:textId="77777777" w:rsidR="00000000" w:rsidRDefault="00000000">
    <w:pPr>
      <w:pStyle w:val="Footer"/>
    </w:pPr>
    <w:r>
      <w:rPr>
        <w:noProof/>
        <w:lang w:eastAsia="en-GB"/>
      </w:rPr>
      <mc:AlternateContent>
        <mc:Choice Requires="wps">
          <w:drawing>
            <wp:anchor distT="0" distB="0" distL="114300" distR="114300" simplePos="0" relativeHeight="251659264" behindDoc="0" locked="0" layoutInCell="1" allowOverlap="1" wp14:anchorId="400E1D0F" wp14:editId="787DB1B9">
              <wp:simplePos x="0" y="0"/>
              <wp:positionH relativeFrom="page">
                <wp:posOffset>648335</wp:posOffset>
              </wp:positionH>
              <wp:positionV relativeFrom="page">
                <wp:posOffset>10189210</wp:posOffset>
              </wp:positionV>
              <wp:extent cx="2515870" cy="228600"/>
              <wp:effectExtent l="0" t="0" r="0" b="0"/>
              <wp:wrapNone/>
              <wp:docPr id="1"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158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737B6" w14:textId="77777777" w:rsidR="00000000" w:rsidRPr="00A41D0D" w:rsidRDefault="00000000">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12"/>
                              <w:szCs w:val="12"/>
                            </w:rPr>
                          </w:pPr>
                          <w:r w:rsidRPr="00A41D0D">
                            <w:rPr>
                              <w:color w:val="000000"/>
                              <w:sz w:val="12"/>
                              <w:szCs w:val="12"/>
                            </w:rPr>
                            <w:t>® Registered trademark of the International Electrotechnical Commission</w:t>
                          </w:r>
                        </w:p>
                      </w:txbxContent>
                    </wps:txbx>
                    <wps:bodyPr rot="0" vert="horz" wrap="none" lIns="18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E1D0F" id="_x0000_t202" coordsize="21600,21600" o:spt="202" path="m,l,21600r21600,l21600,xe">
              <v:stroke joinstyle="miter"/>
              <v:path gradientshapeok="t" o:connecttype="rect"/>
            </v:shapetype>
            <v:shape id="Text Box 6" o:spid="_x0000_s1026" type="#_x0000_t202" style="position:absolute;margin-left:51.05pt;margin-top:802.3pt;width:198.1pt;height:18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" filled="f" stroked="f">
              <o:lock v:ext="edit" aspectratio="t"/>
              <v:textbox inset=".5mm,,1mm">
                <w:txbxContent>
                  <w:p w14:paraId="5E1737B6" w14:textId="77777777" w:rsidR="00000000" w:rsidRPr="00A41D0D" w:rsidRDefault="00000000">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sz w:val="12"/>
                        <w:szCs w:val="12"/>
                      </w:rPr>
                    </w:pPr>
                    <w:r w:rsidRPr="00A41D0D">
                      <w:rPr>
                        <w:color w:val="000000"/>
                        <w:sz w:val="12"/>
                        <w:szCs w:val="12"/>
                      </w:rPr>
                      <w:t>® Registered trademark of the International Electrotechnical Commission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F5F2"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88"/>
    <w:rsid w:val="00107A31"/>
    <w:rsid w:val="001D3AF5"/>
    <w:rsid w:val="003164D9"/>
    <w:rsid w:val="005D6B88"/>
    <w:rsid w:val="007F4AE5"/>
    <w:rsid w:val="008A65D1"/>
    <w:rsid w:val="00AE24F9"/>
    <w:rsid w:val="00E338F1"/>
    <w:rsid w:val="00F8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A4848"/>
  <w15:chartTrackingRefBased/>
  <w15:docId w15:val="{615293F4-39DD-6547-A543-D14756D3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5">
    <w:name w:val="heading 5"/>
    <w:basedOn w:val="Normal"/>
    <w:next w:val="Normal"/>
    <w:link w:val="Heading5Char"/>
    <w:qFormat/>
    <w:rsid w:val="008A65D1"/>
    <w:pPr>
      <w:keepNext/>
      <w:tabs>
        <w:tab w:val="left" w:pos="1134"/>
      </w:tabs>
      <w:outlineLvl w:val="4"/>
    </w:pPr>
    <w:rPr>
      <w:rFonts w:ascii="Arial" w:eastAsia="Times New Roman" w:hAnsi="Arial" w:cs="Arial"/>
      <w:b/>
      <w:bCs/>
      <w:sz w:val="22"/>
      <w:szCs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33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8A65D1"/>
    <w:rPr>
      <w:rFonts w:ascii="Arial" w:eastAsia="Times New Roman" w:hAnsi="Arial" w:cs="Arial"/>
      <w:b/>
      <w:bCs/>
      <w:sz w:val="22"/>
      <w:szCs w:val="22"/>
      <w:lang w:val="en-GB" w:eastAsia="zh-CN"/>
    </w:rPr>
  </w:style>
  <w:style w:type="paragraph" w:styleId="Footer">
    <w:name w:val="footer"/>
    <w:basedOn w:val="Normal"/>
    <w:link w:val="FooterChar"/>
    <w:rsid w:val="008A65D1"/>
    <w:pPr>
      <w:tabs>
        <w:tab w:val="center" w:pos="4536"/>
        <w:tab w:val="right" w:pos="9072"/>
      </w:tabs>
    </w:pPr>
    <w:rPr>
      <w:rFonts w:ascii="Arial" w:eastAsia="Times New Roman" w:hAnsi="Arial" w:cs="Arial"/>
      <w:sz w:val="20"/>
      <w:szCs w:val="20"/>
      <w:lang w:val="en-GB"/>
    </w:rPr>
  </w:style>
  <w:style w:type="character" w:customStyle="1" w:styleId="FooterChar">
    <w:name w:val="Footer Char"/>
    <w:basedOn w:val="DefaultParagraphFont"/>
    <w:link w:val="Footer"/>
    <w:rsid w:val="008A65D1"/>
    <w:rPr>
      <w:rFonts w:ascii="Arial" w:eastAsia="Times New Roman" w:hAnsi="Arial" w:cs="Arial"/>
      <w:lang w:val="en-GB" w:eastAsia="zh-CN"/>
    </w:rPr>
  </w:style>
  <w:style w:type="character" w:styleId="Hyperlink">
    <w:name w:val="Hyperlink"/>
    <w:uiPriority w:val="99"/>
    <w:rsid w:val="008A6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ll.accor.com/hotel/B2N6/index.en.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jpeg"/><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eoffreyibbott/Library/Mobile%20Documents/com~apple~CloudDocs/IEC%20Documents/WG-1%20Meetings/2024-04%20Belgium/individ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individual.dot</Template>
  <TotalTime>40</TotalTime>
  <Pages>4</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Reported by (Name):</vt:lpstr>
    </vt:vector>
  </TitlesOfParts>
  <Company>aapm</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Reported by (Name):</dc:title>
  <dc:subject/>
  <dc:creator>Geoffrey Ibbott</dc:creator>
  <cp:keywords/>
  <dc:description/>
  <cp:lastModifiedBy>Geoffrey Ibbott</cp:lastModifiedBy>
  <cp:revision>1</cp:revision>
  <dcterms:created xsi:type="dcterms:W3CDTF">2024-05-04T21:34:00Z</dcterms:created>
  <dcterms:modified xsi:type="dcterms:W3CDTF">2024-05-05T20:46:00Z</dcterms:modified>
</cp:coreProperties>
</file>