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508"/>
      </w:tblGrid>
      <w:tr w:rsidR="00E338F1" w:rsidRPr="00626613" w:rsidTr="00626613">
        <w:tc>
          <w:tcPr>
            <w:tcW w:w="3348" w:type="dxa"/>
            <w:shd w:val="clear" w:color="auto" w:fill="auto"/>
          </w:tcPr>
          <w:p w:rsidR="00E338F1" w:rsidRPr="00626613" w:rsidRDefault="00E338F1" w:rsidP="00E338F1">
            <w:pPr>
              <w:rPr>
                <w:b/>
              </w:rPr>
            </w:pPr>
            <w:bookmarkStart w:id="0" w:name="_GoBack"/>
            <w:bookmarkEnd w:id="0"/>
            <w:r w:rsidRPr="00626613">
              <w:rPr>
                <w:b/>
              </w:rPr>
              <w:t>Reported by (Name):</w:t>
            </w:r>
          </w:p>
          <w:p w:rsidR="00E338F1" w:rsidRPr="00626613" w:rsidRDefault="00E338F1">
            <w:pPr>
              <w:rPr>
                <w:b/>
              </w:rPr>
            </w:pPr>
          </w:p>
        </w:tc>
        <w:tc>
          <w:tcPr>
            <w:tcW w:w="5508" w:type="dxa"/>
            <w:shd w:val="clear" w:color="auto" w:fill="auto"/>
          </w:tcPr>
          <w:p w:rsidR="00E338F1" w:rsidRPr="00626613" w:rsidRDefault="00907068">
            <w:pPr>
              <w:rPr>
                <w:b/>
              </w:rPr>
            </w:pPr>
            <w:r w:rsidRPr="00626613">
              <w:rPr>
                <w:b/>
              </w:rPr>
              <w:t>Bruce Curran</w:t>
            </w:r>
          </w:p>
        </w:tc>
      </w:tr>
      <w:tr w:rsidR="00E338F1" w:rsidRPr="00626613" w:rsidTr="00626613">
        <w:tc>
          <w:tcPr>
            <w:tcW w:w="3348" w:type="dxa"/>
            <w:shd w:val="clear" w:color="auto" w:fill="auto"/>
          </w:tcPr>
          <w:p w:rsidR="00E338F1" w:rsidRPr="00626613" w:rsidRDefault="00E338F1" w:rsidP="00E338F1">
            <w:pPr>
              <w:rPr>
                <w:b/>
              </w:rPr>
            </w:pPr>
            <w:r w:rsidRPr="00626613">
              <w:rPr>
                <w:b/>
              </w:rPr>
              <w:t xml:space="preserve">Organization: </w:t>
            </w:r>
          </w:p>
          <w:p w:rsidR="00E338F1" w:rsidRPr="00626613" w:rsidRDefault="00E338F1">
            <w:pPr>
              <w:rPr>
                <w:b/>
              </w:rPr>
            </w:pPr>
          </w:p>
        </w:tc>
        <w:tc>
          <w:tcPr>
            <w:tcW w:w="5508" w:type="dxa"/>
            <w:shd w:val="clear" w:color="auto" w:fill="auto"/>
          </w:tcPr>
          <w:p w:rsidR="00E338F1" w:rsidRPr="00626613" w:rsidRDefault="00907068">
            <w:pPr>
              <w:rPr>
                <w:b/>
              </w:rPr>
            </w:pPr>
            <w:r w:rsidRPr="00626613">
              <w:rPr>
                <w:b/>
              </w:rPr>
              <w:t>AIP</w:t>
            </w:r>
          </w:p>
        </w:tc>
      </w:tr>
      <w:tr w:rsidR="00E338F1" w:rsidRPr="00626613" w:rsidTr="00626613">
        <w:tc>
          <w:tcPr>
            <w:tcW w:w="3348" w:type="dxa"/>
            <w:shd w:val="clear" w:color="auto" w:fill="auto"/>
          </w:tcPr>
          <w:p w:rsidR="00E338F1" w:rsidRPr="00626613" w:rsidRDefault="00E338F1" w:rsidP="00E338F1">
            <w:pPr>
              <w:rPr>
                <w:b/>
              </w:rPr>
            </w:pPr>
            <w:r w:rsidRPr="00626613">
              <w:rPr>
                <w:b/>
              </w:rPr>
              <w:t>Position Title:</w:t>
            </w:r>
          </w:p>
          <w:p w:rsidR="00E338F1" w:rsidRPr="00626613" w:rsidRDefault="00E338F1">
            <w:pPr>
              <w:rPr>
                <w:b/>
              </w:rPr>
            </w:pPr>
          </w:p>
        </w:tc>
        <w:tc>
          <w:tcPr>
            <w:tcW w:w="5508" w:type="dxa"/>
            <w:shd w:val="clear" w:color="auto" w:fill="auto"/>
          </w:tcPr>
          <w:p w:rsidR="00E338F1" w:rsidRPr="00626613" w:rsidRDefault="00907068">
            <w:pPr>
              <w:rPr>
                <w:b/>
              </w:rPr>
            </w:pPr>
            <w:r w:rsidRPr="00626613">
              <w:rPr>
                <w:b/>
              </w:rPr>
              <w:t>Physics Today Advisory Committee (Chair)</w:t>
            </w:r>
          </w:p>
        </w:tc>
      </w:tr>
      <w:tr w:rsidR="00E338F1" w:rsidRPr="00626613" w:rsidTr="00626613">
        <w:tc>
          <w:tcPr>
            <w:tcW w:w="3348" w:type="dxa"/>
            <w:shd w:val="clear" w:color="auto" w:fill="auto"/>
          </w:tcPr>
          <w:p w:rsidR="00E338F1" w:rsidRPr="00626613" w:rsidRDefault="00E338F1" w:rsidP="00E338F1">
            <w:pPr>
              <w:rPr>
                <w:b/>
              </w:rPr>
            </w:pPr>
            <w:r w:rsidRPr="00626613">
              <w:rPr>
                <w:b/>
              </w:rPr>
              <w:t>Activity:</w:t>
            </w:r>
          </w:p>
          <w:p w:rsidR="00E338F1" w:rsidRPr="00626613" w:rsidRDefault="00E338F1">
            <w:pPr>
              <w:rPr>
                <w:b/>
              </w:rPr>
            </w:pPr>
          </w:p>
        </w:tc>
        <w:tc>
          <w:tcPr>
            <w:tcW w:w="5508" w:type="dxa"/>
            <w:shd w:val="clear" w:color="auto" w:fill="auto"/>
          </w:tcPr>
          <w:p w:rsidR="00E338F1" w:rsidRPr="00626613" w:rsidRDefault="00907068">
            <w:pPr>
              <w:rPr>
                <w:b/>
              </w:rPr>
            </w:pPr>
            <w:r w:rsidRPr="00626613">
              <w:rPr>
                <w:b/>
              </w:rPr>
              <w:t>Advisory Committee Meeting</w:t>
            </w:r>
          </w:p>
        </w:tc>
      </w:tr>
      <w:tr w:rsidR="00E338F1" w:rsidRPr="00626613" w:rsidTr="00626613">
        <w:trPr>
          <w:trHeight w:val="260"/>
        </w:trPr>
        <w:tc>
          <w:tcPr>
            <w:tcW w:w="3348" w:type="dxa"/>
            <w:shd w:val="clear" w:color="auto" w:fill="auto"/>
          </w:tcPr>
          <w:p w:rsidR="00E338F1" w:rsidRPr="00626613" w:rsidRDefault="00E338F1" w:rsidP="00E338F1">
            <w:pPr>
              <w:rPr>
                <w:b/>
              </w:rPr>
            </w:pPr>
            <w:r w:rsidRPr="00626613">
              <w:rPr>
                <w:b/>
              </w:rPr>
              <w:t>Meeting Dates:</w:t>
            </w:r>
          </w:p>
          <w:p w:rsidR="00E338F1" w:rsidRPr="00626613" w:rsidRDefault="00E338F1">
            <w:pPr>
              <w:rPr>
                <w:b/>
              </w:rPr>
            </w:pPr>
          </w:p>
        </w:tc>
        <w:tc>
          <w:tcPr>
            <w:tcW w:w="5508" w:type="dxa"/>
            <w:shd w:val="clear" w:color="auto" w:fill="auto"/>
          </w:tcPr>
          <w:p w:rsidR="00E338F1" w:rsidRPr="00626613" w:rsidRDefault="00907068">
            <w:pPr>
              <w:rPr>
                <w:b/>
              </w:rPr>
            </w:pPr>
            <w:r w:rsidRPr="00626613">
              <w:rPr>
                <w:b/>
              </w:rPr>
              <w:t>1/24/2013</w:t>
            </w:r>
          </w:p>
        </w:tc>
      </w:tr>
      <w:tr w:rsidR="00E338F1" w:rsidRPr="00626613" w:rsidTr="00626613">
        <w:tc>
          <w:tcPr>
            <w:tcW w:w="3348" w:type="dxa"/>
            <w:shd w:val="clear" w:color="auto" w:fill="auto"/>
          </w:tcPr>
          <w:p w:rsidR="00E338F1" w:rsidRPr="00626613" w:rsidRDefault="00E338F1" w:rsidP="00E338F1">
            <w:pPr>
              <w:rPr>
                <w:b/>
              </w:rPr>
            </w:pPr>
            <w:r w:rsidRPr="00626613">
              <w:rPr>
                <w:b/>
              </w:rPr>
              <w:t>Meeting Location:</w:t>
            </w:r>
          </w:p>
          <w:p w:rsidR="00E338F1" w:rsidRPr="00626613" w:rsidRDefault="00E338F1">
            <w:pPr>
              <w:rPr>
                <w:b/>
              </w:rPr>
            </w:pPr>
          </w:p>
        </w:tc>
        <w:tc>
          <w:tcPr>
            <w:tcW w:w="5508" w:type="dxa"/>
            <w:shd w:val="clear" w:color="auto" w:fill="auto"/>
          </w:tcPr>
          <w:p w:rsidR="00E338F1" w:rsidRPr="00626613" w:rsidRDefault="00907068">
            <w:pPr>
              <w:rPr>
                <w:b/>
              </w:rPr>
            </w:pPr>
            <w:r w:rsidRPr="00626613">
              <w:rPr>
                <w:b/>
              </w:rPr>
              <w:t>AIP, College Park, MD</w:t>
            </w:r>
          </w:p>
        </w:tc>
      </w:tr>
      <w:tr w:rsidR="00E338F1" w:rsidRPr="00626613" w:rsidTr="00626613">
        <w:tc>
          <w:tcPr>
            <w:tcW w:w="3348" w:type="dxa"/>
            <w:shd w:val="clear" w:color="auto" w:fill="auto"/>
          </w:tcPr>
          <w:p w:rsidR="00E338F1" w:rsidRPr="00626613" w:rsidRDefault="00E338F1" w:rsidP="00E338F1">
            <w:pPr>
              <w:rPr>
                <w:b/>
              </w:rPr>
            </w:pPr>
            <w:r w:rsidRPr="00626613">
              <w:rPr>
                <w:b/>
              </w:rPr>
              <w:t>Payment $:</w:t>
            </w:r>
          </w:p>
          <w:p w:rsidR="00E338F1" w:rsidRPr="00626613" w:rsidRDefault="00E338F1">
            <w:pPr>
              <w:rPr>
                <w:b/>
              </w:rPr>
            </w:pPr>
          </w:p>
        </w:tc>
        <w:tc>
          <w:tcPr>
            <w:tcW w:w="5508" w:type="dxa"/>
            <w:shd w:val="clear" w:color="auto" w:fill="auto"/>
          </w:tcPr>
          <w:p w:rsidR="00E338F1" w:rsidRPr="00626613" w:rsidRDefault="00907068">
            <w:pPr>
              <w:rPr>
                <w:b/>
              </w:rPr>
            </w:pPr>
            <w:r w:rsidRPr="00626613">
              <w:rPr>
                <w:b/>
              </w:rPr>
              <w:t>Supported by AIP</w:t>
            </w:r>
          </w:p>
        </w:tc>
      </w:tr>
      <w:tr w:rsidR="00E338F1" w:rsidRPr="00626613" w:rsidTr="00626613">
        <w:tc>
          <w:tcPr>
            <w:tcW w:w="3348" w:type="dxa"/>
            <w:shd w:val="clear" w:color="auto" w:fill="auto"/>
          </w:tcPr>
          <w:p w:rsidR="00E338F1" w:rsidRPr="00626613" w:rsidRDefault="00E338F1" w:rsidP="00E338F1">
            <w:pPr>
              <w:rPr>
                <w:b/>
              </w:rPr>
            </w:pPr>
            <w:r w:rsidRPr="00626613">
              <w:rPr>
                <w:b/>
              </w:rPr>
              <w:t>Reasons for Attending or not Attending</w:t>
            </w:r>
          </w:p>
          <w:p w:rsidR="00E338F1" w:rsidRPr="00626613" w:rsidRDefault="00E338F1">
            <w:pPr>
              <w:rPr>
                <w:b/>
              </w:rPr>
            </w:pPr>
          </w:p>
        </w:tc>
        <w:tc>
          <w:tcPr>
            <w:tcW w:w="5508" w:type="dxa"/>
            <w:shd w:val="clear" w:color="auto" w:fill="auto"/>
          </w:tcPr>
          <w:p w:rsidR="00E338F1" w:rsidRPr="00626613" w:rsidRDefault="00907068">
            <w:pPr>
              <w:rPr>
                <w:b/>
              </w:rPr>
            </w:pPr>
            <w:r w:rsidRPr="00626613">
              <w:rPr>
                <w:b/>
              </w:rPr>
              <w:t>New Chair</w:t>
            </w:r>
          </w:p>
        </w:tc>
      </w:tr>
      <w:tr w:rsidR="00E338F1" w:rsidRPr="00626613" w:rsidTr="00626613">
        <w:tc>
          <w:tcPr>
            <w:tcW w:w="3348" w:type="dxa"/>
            <w:shd w:val="clear" w:color="auto" w:fill="auto"/>
          </w:tcPr>
          <w:p w:rsidR="00E338F1" w:rsidRPr="00626613" w:rsidRDefault="00E338F1" w:rsidP="00E338F1">
            <w:pPr>
              <w:rPr>
                <w:b/>
              </w:rPr>
            </w:pPr>
            <w:r w:rsidRPr="00626613">
              <w:rPr>
                <w:b/>
              </w:rPr>
              <w:t>Issues from Previous Meetings or Year:</w:t>
            </w:r>
          </w:p>
          <w:p w:rsidR="00E338F1" w:rsidRPr="00626613" w:rsidRDefault="00E338F1">
            <w:pPr>
              <w:rPr>
                <w:b/>
              </w:rPr>
            </w:pPr>
          </w:p>
        </w:tc>
        <w:tc>
          <w:tcPr>
            <w:tcW w:w="5508" w:type="dxa"/>
            <w:shd w:val="clear" w:color="auto" w:fill="auto"/>
          </w:tcPr>
          <w:p w:rsidR="00E338F1" w:rsidRPr="00626613" w:rsidRDefault="00907068">
            <w:pPr>
              <w:rPr>
                <w:b/>
              </w:rPr>
            </w:pPr>
            <w:r w:rsidRPr="00626613">
              <w:rPr>
                <w:b/>
              </w:rPr>
              <w:t>N/A</w:t>
            </w:r>
          </w:p>
        </w:tc>
      </w:tr>
      <w:tr w:rsidR="00E338F1" w:rsidRPr="00626613" w:rsidTr="00626613">
        <w:tc>
          <w:tcPr>
            <w:tcW w:w="3348" w:type="dxa"/>
            <w:shd w:val="clear" w:color="auto" w:fill="auto"/>
          </w:tcPr>
          <w:p w:rsidR="00E338F1" w:rsidRPr="00626613" w:rsidRDefault="00E338F1" w:rsidP="00E338F1">
            <w:pPr>
              <w:rPr>
                <w:b/>
              </w:rPr>
            </w:pPr>
            <w:r w:rsidRPr="00626613">
              <w:rPr>
                <w:b/>
              </w:rPr>
              <w:t>General Description of Activities of the Organization and/or Meeting:</w:t>
            </w:r>
          </w:p>
          <w:p w:rsidR="00E338F1" w:rsidRPr="00626613" w:rsidRDefault="00E338F1">
            <w:pPr>
              <w:rPr>
                <w:b/>
              </w:rPr>
            </w:pPr>
          </w:p>
        </w:tc>
        <w:tc>
          <w:tcPr>
            <w:tcW w:w="5508" w:type="dxa"/>
            <w:shd w:val="clear" w:color="auto" w:fill="auto"/>
          </w:tcPr>
          <w:p w:rsidR="00E338F1" w:rsidRPr="00626613" w:rsidRDefault="00907068">
            <w:pPr>
              <w:rPr>
                <w:b/>
              </w:rPr>
            </w:pPr>
            <w:r w:rsidRPr="00626613">
              <w:rPr>
                <w:b/>
              </w:rPr>
              <w:t>Advises PT on editorial issues.</w:t>
            </w:r>
          </w:p>
        </w:tc>
      </w:tr>
      <w:tr w:rsidR="00E338F1" w:rsidRPr="00626613" w:rsidTr="00626613">
        <w:tc>
          <w:tcPr>
            <w:tcW w:w="3348" w:type="dxa"/>
            <w:shd w:val="clear" w:color="auto" w:fill="auto"/>
          </w:tcPr>
          <w:p w:rsidR="00E338F1" w:rsidRPr="00626613" w:rsidRDefault="00E338F1" w:rsidP="00E338F1">
            <w:pPr>
              <w:rPr>
                <w:b/>
              </w:rPr>
            </w:pPr>
            <w:r w:rsidRPr="00626613">
              <w:rPr>
                <w:b/>
              </w:rPr>
              <w:t>Issues for AAPM:</w:t>
            </w:r>
          </w:p>
          <w:p w:rsidR="00E338F1" w:rsidRPr="00626613" w:rsidRDefault="00E338F1">
            <w:pPr>
              <w:rPr>
                <w:b/>
              </w:rPr>
            </w:pPr>
          </w:p>
        </w:tc>
        <w:tc>
          <w:tcPr>
            <w:tcW w:w="5508" w:type="dxa"/>
            <w:shd w:val="clear" w:color="auto" w:fill="auto"/>
          </w:tcPr>
          <w:p w:rsidR="00E338F1" w:rsidRPr="00626613" w:rsidRDefault="00907068" w:rsidP="00626613">
            <w:pPr>
              <w:numPr>
                <w:ilvl w:val="0"/>
                <w:numId w:val="3"/>
              </w:numPr>
              <w:rPr>
                <w:b/>
              </w:rPr>
            </w:pPr>
            <w:r w:rsidRPr="00626613">
              <w:rPr>
                <w:b/>
              </w:rPr>
              <w:t xml:space="preserve"> Since the meeting below, the AGU has decided to discontinue as a Member Society, thus reducing the PT circulation by ~35,000.  However the America Meteorological Society has requested elevation to MS, adding about 15,000 (many from AGU).</w:t>
            </w:r>
          </w:p>
          <w:p w:rsidR="00907068" w:rsidRPr="00626613" w:rsidRDefault="00907068" w:rsidP="00626613">
            <w:pPr>
              <w:numPr>
                <w:ilvl w:val="0"/>
                <w:numId w:val="3"/>
              </w:numPr>
              <w:rPr>
                <w:b/>
              </w:rPr>
            </w:pPr>
            <w:r w:rsidRPr="00626613">
              <w:rPr>
                <w:b/>
              </w:rPr>
              <w:t>PT struggles to increase its perception of relevance, which will be the subject of its January, 2014 meeting.</w:t>
            </w:r>
          </w:p>
          <w:p w:rsidR="00907068" w:rsidRPr="00626613" w:rsidRDefault="00907068" w:rsidP="00626613">
            <w:pPr>
              <w:numPr>
                <w:ilvl w:val="0"/>
                <w:numId w:val="3"/>
              </w:numPr>
              <w:rPr>
                <w:b/>
              </w:rPr>
            </w:pPr>
            <w:r w:rsidRPr="00626613">
              <w:rPr>
                <w:b/>
              </w:rPr>
              <w:t>AAPM continues to have the largest % among MS with registrations to PT on-line.</w:t>
            </w:r>
          </w:p>
          <w:p w:rsidR="00907068" w:rsidRPr="00626613" w:rsidRDefault="00907068" w:rsidP="00626613">
            <w:pPr>
              <w:numPr>
                <w:ilvl w:val="0"/>
                <w:numId w:val="3"/>
              </w:numPr>
              <w:rPr>
                <w:b/>
              </w:rPr>
            </w:pPr>
            <w:r w:rsidRPr="00626613">
              <w:rPr>
                <w:b/>
              </w:rPr>
              <w:t>The finances of PT are in flux as a result of the departure of AGU and the creation of AIP Publishing, LLC.  AIP has determined to keep the circulation stable at 120,000 for at least 2014.</w:t>
            </w:r>
          </w:p>
        </w:tc>
      </w:tr>
      <w:tr w:rsidR="00E338F1" w:rsidRPr="00626613" w:rsidTr="00626613">
        <w:tc>
          <w:tcPr>
            <w:tcW w:w="3348" w:type="dxa"/>
            <w:shd w:val="clear" w:color="auto" w:fill="auto"/>
          </w:tcPr>
          <w:p w:rsidR="00E338F1" w:rsidRPr="00626613" w:rsidRDefault="00E338F1" w:rsidP="00E338F1">
            <w:pPr>
              <w:rPr>
                <w:b/>
              </w:rPr>
            </w:pPr>
            <w:r w:rsidRPr="00626613">
              <w:rPr>
                <w:b/>
              </w:rPr>
              <w:t>Budget Request ($):</w:t>
            </w:r>
          </w:p>
          <w:p w:rsidR="00E338F1" w:rsidRPr="00626613" w:rsidRDefault="00E338F1">
            <w:pPr>
              <w:rPr>
                <w:b/>
              </w:rPr>
            </w:pPr>
          </w:p>
        </w:tc>
        <w:tc>
          <w:tcPr>
            <w:tcW w:w="5508" w:type="dxa"/>
            <w:shd w:val="clear" w:color="auto" w:fill="auto"/>
          </w:tcPr>
          <w:p w:rsidR="00E338F1" w:rsidRPr="00626613" w:rsidRDefault="00907068">
            <w:pPr>
              <w:rPr>
                <w:b/>
              </w:rPr>
            </w:pPr>
            <w:r w:rsidRPr="00626613">
              <w:rPr>
                <w:b/>
              </w:rPr>
              <w:t>N/A</w:t>
            </w:r>
          </w:p>
        </w:tc>
      </w:tr>
    </w:tbl>
    <w:p w:rsidR="003164D9" w:rsidRPr="003164D9" w:rsidRDefault="003164D9">
      <w:pPr>
        <w:rPr>
          <w:b/>
        </w:rPr>
      </w:pPr>
    </w:p>
    <w:p w:rsidR="00907068" w:rsidRPr="00422418" w:rsidRDefault="00907068" w:rsidP="00907068">
      <w:pPr>
        <w:spacing w:before="120" w:after="120"/>
        <w:jc w:val="center"/>
        <w:rPr>
          <w:b/>
        </w:rPr>
      </w:pPr>
      <w:r>
        <w:rPr>
          <w:b/>
        </w:rPr>
        <w:br w:type="page"/>
      </w:r>
      <w:r w:rsidRPr="00422418">
        <w:rPr>
          <w:b/>
        </w:rPr>
        <w:lastRenderedPageBreak/>
        <w:t xml:space="preserve">2013 PTAC </w:t>
      </w:r>
      <w:r>
        <w:rPr>
          <w:b/>
        </w:rPr>
        <w:t xml:space="preserve">Summary </w:t>
      </w:r>
      <w:r w:rsidRPr="00422418">
        <w:rPr>
          <w:b/>
        </w:rPr>
        <w:t>Report</w:t>
      </w:r>
    </w:p>
    <w:p w:rsidR="00907068" w:rsidRDefault="00907068" w:rsidP="00907068">
      <w:r w:rsidRPr="00422418">
        <w:t>The Physics Today Advisory Co</w:t>
      </w:r>
      <w:r>
        <w:t>mmittee (PTAC) met on January 24, 2013</w:t>
      </w:r>
      <w:r w:rsidRPr="00422418">
        <w:t xml:space="preserve"> with the leadership and extended staff of Physics Today (PT). We were given an overview of AIP and the magazine, followed by an engaging and wide-ranging discussion. This year we were given a special topic to discuss, namely: “</w:t>
      </w:r>
      <w:r>
        <w:t>Physics Today in its effort to cover the news</w:t>
      </w:r>
      <w:r w:rsidRPr="00422418">
        <w:t>”</w:t>
      </w:r>
      <w:r>
        <w:t xml:space="preserve">. </w:t>
      </w:r>
      <w:r w:rsidRPr="00422418">
        <w:t xml:space="preserve"> In the afternoon, the committee deliberated in private and made a series of observations, suggestions, and recommendations that were reported to Physics Today management. The feedback was further developed after the meeting and is summarized in this report.</w:t>
      </w:r>
    </w:p>
    <w:p w:rsidR="00907068" w:rsidRDefault="00907068" w:rsidP="00907068">
      <w:r>
        <w:t>Key recommendations are summarized below, with more complete discussion included in the full report.</w:t>
      </w:r>
    </w:p>
    <w:p w:rsidR="00907068" w:rsidRDefault="00907068" w:rsidP="00907068">
      <w:r>
        <w:t>Topics discussed in previous meetings that continue to be of importance:</w:t>
      </w:r>
    </w:p>
    <w:p w:rsidR="00907068" w:rsidRDefault="00907068" w:rsidP="00907068">
      <w:pPr>
        <w:pStyle w:val="ListParagraph"/>
        <w:numPr>
          <w:ilvl w:val="0"/>
          <w:numId w:val="1"/>
        </w:numPr>
        <w:rPr>
          <w:b/>
        </w:rPr>
      </w:pPr>
      <w:r w:rsidRPr="00311636">
        <w:rPr>
          <w:b/>
        </w:rPr>
        <w:t>Incorporate content that can more fully engage the diversity of society members, in particular those who are young, , or in non-physics fields , or who do not have a PhD</w:t>
      </w:r>
    </w:p>
    <w:p w:rsidR="00907068" w:rsidRPr="00311636" w:rsidRDefault="00907068" w:rsidP="00907068">
      <w:pPr>
        <w:pStyle w:val="ListParagraph"/>
        <w:numPr>
          <w:ilvl w:val="1"/>
          <w:numId w:val="1"/>
        </w:numPr>
        <w:rPr>
          <w:b/>
        </w:rPr>
      </w:pPr>
      <w:r w:rsidRPr="00311636">
        <w:rPr>
          <w:b/>
        </w:rPr>
        <w:t>Physics Today should suggest that Member</w:t>
      </w:r>
      <w:r>
        <w:rPr>
          <w:b/>
        </w:rPr>
        <w:t xml:space="preserve"> </w:t>
      </w:r>
      <w:r w:rsidRPr="00311636">
        <w:rPr>
          <w:b/>
        </w:rPr>
        <w:t>Societies send information on Young Investigators (Award Winners) to form a pool for solicitation for “Quick Study” or Feature Article submission.</w:t>
      </w:r>
    </w:p>
    <w:p w:rsidR="00907068" w:rsidRPr="00311636" w:rsidRDefault="00907068" w:rsidP="00907068">
      <w:pPr>
        <w:pStyle w:val="ListParagraph"/>
        <w:numPr>
          <w:ilvl w:val="0"/>
          <w:numId w:val="1"/>
        </w:numPr>
      </w:pPr>
      <w:r w:rsidRPr="00D16E05">
        <w:rPr>
          <w:b/>
        </w:rPr>
        <w:t>Include biographies and photos of authors</w:t>
      </w:r>
      <w:r>
        <w:rPr>
          <w:b/>
        </w:rPr>
        <w:t xml:space="preserve"> in PTOL and possibly in print</w:t>
      </w:r>
    </w:p>
    <w:p w:rsidR="00907068" w:rsidRPr="00311636" w:rsidRDefault="00907068" w:rsidP="0090706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PTAC continues to need a younger member on the committee.  One recommendation is to s</w:t>
      </w:r>
      <w:r w:rsidRPr="00311636">
        <w:rPr>
          <w:b/>
        </w:rPr>
        <w:t>earch for early faculty</w:t>
      </w:r>
      <w:r>
        <w:rPr>
          <w:b/>
        </w:rPr>
        <w:t xml:space="preserve"> needing to fulfill their</w:t>
      </w:r>
      <w:r w:rsidRPr="00311636">
        <w:rPr>
          <w:b/>
        </w:rPr>
        <w:t xml:space="preserve"> </w:t>
      </w:r>
      <w:r>
        <w:rPr>
          <w:b/>
        </w:rPr>
        <w:t>service requirement.</w:t>
      </w:r>
    </w:p>
    <w:p w:rsidR="00907068" w:rsidRDefault="00907068" w:rsidP="00907068">
      <w:pPr>
        <w:pStyle w:val="ListParagraph"/>
        <w:numPr>
          <w:ilvl w:val="0"/>
          <w:numId w:val="1"/>
        </w:numPr>
        <w:rPr>
          <w:b/>
        </w:rPr>
      </w:pPr>
      <w:r w:rsidRPr="00311636">
        <w:rPr>
          <w:b/>
        </w:rPr>
        <w:t>Continue to encourage development of Feature Articles and Quick Study items to be sure that the technical content is accessible to a broad audience.</w:t>
      </w:r>
    </w:p>
    <w:p w:rsidR="00907068" w:rsidRDefault="00907068" w:rsidP="00907068">
      <w:r>
        <w:t>New topics discussed at this meeting:</w:t>
      </w:r>
    </w:p>
    <w:p w:rsidR="00907068" w:rsidRPr="00EE65DF" w:rsidRDefault="00907068" w:rsidP="00907068">
      <w:pPr>
        <w:pStyle w:val="ListParagraph"/>
        <w:numPr>
          <w:ilvl w:val="0"/>
          <w:numId w:val="2"/>
        </w:numPr>
      </w:pPr>
      <w:r>
        <w:rPr>
          <w:b/>
        </w:rPr>
        <w:t xml:space="preserve">Staff is to be applauded on the changes in the look of PT, particularly in covers, Backscatter, and Feature Articles. </w:t>
      </w:r>
    </w:p>
    <w:p w:rsidR="00907068" w:rsidRPr="00EE65DF" w:rsidRDefault="00907068" w:rsidP="00907068">
      <w:pPr>
        <w:pStyle w:val="ListParagraph"/>
        <w:numPr>
          <w:ilvl w:val="0"/>
          <w:numId w:val="2"/>
        </w:numPr>
      </w:pPr>
      <w:r>
        <w:rPr>
          <w:b/>
        </w:rPr>
        <w:t>There is a place for “News” items in both PT and PTOL.  Both short items (more timely) and in-depth topics (2-3 months later) are useful and have a place in the print version.</w:t>
      </w:r>
    </w:p>
    <w:p w:rsidR="00907068" w:rsidRPr="009D3C52" w:rsidRDefault="00907068" w:rsidP="00907068">
      <w:pPr>
        <w:pStyle w:val="ListParagraph"/>
        <w:numPr>
          <w:ilvl w:val="0"/>
          <w:numId w:val="2"/>
        </w:numPr>
      </w:pPr>
      <w:r w:rsidRPr="009D3C52">
        <w:rPr>
          <w:b/>
        </w:rPr>
        <w:t xml:space="preserve">The Committee commends the editors for surveying the level of experience of the readers of the print versions of Physics Today. </w:t>
      </w:r>
      <w:r>
        <w:rPr>
          <w:b/>
        </w:rPr>
        <w:t xml:space="preserve"> </w:t>
      </w:r>
      <w:r w:rsidRPr="009D3C52">
        <w:rPr>
          <w:b/>
        </w:rPr>
        <w:t>The Committee recommends that future survey</w:t>
      </w:r>
      <w:r>
        <w:rPr>
          <w:b/>
        </w:rPr>
        <w:t>s</w:t>
      </w:r>
      <w:r w:rsidRPr="009D3C52">
        <w:rPr>
          <w:b/>
        </w:rPr>
        <w:t xml:space="preserve"> be carried out on readers of both the print and electronic versions. </w:t>
      </w:r>
    </w:p>
    <w:p w:rsidR="00907068" w:rsidRPr="00D16E05" w:rsidRDefault="00907068" w:rsidP="00907068">
      <w:pPr>
        <w:pStyle w:val="ListParagraph"/>
        <w:numPr>
          <w:ilvl w:val="0"/>
          <w:numId w:val="2"/>
        </w:numPr>
      </w:pPr>
      <w:r>
        <w:rPr>
          <w:b/>
        </w:rPr>
        <w:t>The impact and use of the Digital edition needs to be further explored.  Questions regarding revenue models and readership preference were briefly discussed.</w:t>
      </w:r>
    </w:p>
    <w:p w:rsidR="00907068" w:rsidRPr="0086173F" w:rsidRDefault="00907068" w:rsidP="00907068">
      <w:pPr>
        <w:pStyle w:val="ListParagraph"/>
        <w:numPr>
          <w:ilvl w:val="0"/>
          <w:numId w:val="2"/>
        </w:numPr>
      </w:pPr>
      <w:r>
        <w:rPr>
          <w:b/>
        </w:rPr>
        <w:t>PTAC members need to assume a greater role as ambassadors from PT to the MS.  This could also assist in the recruitment of younger members to the committee.</w:t>
      </w:r>
    </w:p>
    <w:p w:rsidR="003164D9" w:rsidRPr="00907068" w:rsidRDefault="00907068">
      <w:r>
        <w:t xml:space="preserve">As the novice chair of PTAC, I would like to express my thanks to Stephen and the staff of PT/PTOL for their excellent preparation for this meeting and the timely exchange of information.  I would also like to thank the members of the committee for educating me on the operational characteristics of the committee.  Finally, my thanks to the previous chair, Jim </w:t>
      </w:r>
      <w:proofErr w:type="spellStart"/>
      <w:r>
        <w:t>Hollenhorst</w:t>
      </w:r>
      <w:proofErr w:type="spellEnd"/>
      <w:r>
        <w:t>, whose 2012 report I have blatantly plagiarized in both format and content in putting together this report.</w:t>
      </w:r>
    </w:p>
    <w:p w:rsidR="003164D9" w:rsidRPr="003164D9" w:rsidRDefault="003164D9">
      <w:pPr>
        <w:rPr>
          <w:b/>
        </w:rPr>
      </w:pPr>
    </w:p>
    <w:p w:rsidR="003164D9" w:rsidRPr="003164D9" w:rsidRDefault="003164D9">
      <w:pPr>
        <w:rPr>
          <w:b/>
        </w:rPr>
      </w:pPr>
    </w:p>
    <w:p w:rsidR="003164D9" w:rsidRPr="003164D9" w:rsidRDefault="003164D9">
      <w:pPr>
        <w:rPr>
          <w:b/>
        </w:rPr>
      </w:pPr>
    </w:p>
    <w:sectPr w:rsidR="003164D9" w:rsidRPr="003164D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10BB6"/>
    <w:multiLevelType w:val="hybridMultilevel"/>
    <w:tmpl w:val="4A342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D1357C"/>
    <w:multiLevelType w:val="hybridMultilevel"/>
    <w:tmpl w:val="422E5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1D25F5"/>
    <w:multiLevelType w:val="hybridMultilevel"/>
    <w:tmpl w:val="C27CB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6C9"/>
    <w:rsid w:val="00107A31"/>
    <w:rsid w:val="001D3AF5"/>
    <w:rsid w:val="003164D9"/>
    <w:rsid w:val="003466C9"/>
    <w:rsid w:val="00626613"/>
    <w:rsid w:val="00907068"/>
    <w:rsid w:val="00AE24F9"/>
    <w:rsid w:val="00E3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338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0706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338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0706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urran1\Documents\AIP\PRC\PTAC\Report%20to%20AAPM%20Board_2013-11-2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Report to AAPM Board_2013-11-26.dot</Template>
  <TotalTime>1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Reported by (Name):</vt:lpstr>
    </vt:vector>
  </TitlesOfParts>
  <Company>aapm</Company>
  <LinksUpToDate>false</LinksUpToDate>
  <CharactersWithSpaces>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Reported by (Name):</dc:title>
  <dc:creator>Bruce Curran</dc:creator>
  <cp:lastModifiedBy>Bruce Curran</cp:lastModifiedBy>
  <cp:revision>1</cp:revision>
  <dcterms:created xsi:type="dcterms:W3CDTF">2013-11-27T02:46:00Z</dcterms:created>
  <dcterms:modified xsi:type="dcterms:W3CDTF">2013-11-27T02:47:00Z</dcterms:modified>
</cp:coreProperties>
</file>