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97119E">
            <w:pPr>
              <w:rPr>
                <w:b/>
              </w:rPr>
            </w:pPr>
            <w:r>
              <w:rPr>
                <w:b/>
              </w:rPr>
              <w:t>Bruce Curran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97119E">
            <w:pPr>
              <w:rPr>
                <w:b/>
              </w:rPr>
            </w:pPr>
            <w:r>
              <w:rPr>
                <w:b/>
              </w:rPr>
              <w:t>AIP</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97119E">
            <w:pPr>
              <w:rPr>
                <w:b/>
              </w:rPr>
            </w:pPr>
            <w:r>
              <w:rPr>
                <w:b/>
              </w:rPr>
              <w:t>Governing Board Representative</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97119E">
            <w:pPr>
              <w:rPr>
                <w:b/>
              </w:rPr>
            </w:pPr>
            <w:r>
              <w:rPr>
                <w:b/>
              </w:rPr>
              <w:t>AIP GB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97119E">
            <w:pPr>
              <w:rPr>
                <w:b/>
              </w:rPr>
            </w:pPr>
            <w:r>
              <w:rPr>
                <w:b/>
              </w:rPr>
              <w:t>3/28/2014</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97119E">
            <w:pPr>
              <w:rPr>
                <w:b/>
              </w:rPr>
            </w:pPr>
            <w:r>
              <w:rPr>
                <w:b/>
              </w:rPr>
              <w:t>College Park, MD</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97119E">
            <w:pPr>
              <w:rPr>
                <w:b/>
              </w:rPr>
            </w:pPr>
            <w:r>
              <w:rPr>
                <w:b/>
              </w:rPr>
              <w:t>AIP-Funded</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97119E">
            <w:pPr>
              <w:rPr>
                <w:b/>
              </w:rPr>
            </w:pPr>
            <w:r>
              <w:rPr>
                <w:b/>
              </w:rPr>
              <w:t>Attended</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A24BF4">
            <w:pPr>
              <w:rPr>
                <w:b/>
              </w:rPr>
            </w:pPr>
            <w:r>
              <w:rPr>
                <w:b/>
              </w:rPr>
              <w:t>AIP Publishing, LLC is functioning, though they are still separating functions between AIP and AIPP.</w:t>
            </w:r>
            <w:bookmarkStart w:id="0" w:name="_GoBack"/>
            <w:bookmarkEnd w:id="0"/>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97119E">
            <w:pPr>
              <w:rPr>
                <w:b/>
              </w:rPr>
            </w:pPr>
            <w:r>
              <w:rPr>
                <w:b/>
              </w:rPr>
              <w:t>Most of this meeting was devoted to review of the AIP Special Governance Committee (SGC) Report and representatives.  After 3 years of work, the SGC has recommended reducing the GB size from roughly 42 to a maximum of 22 (initial size ~15).  The Board will consist of one Director from each Member Society (until the maximum size is reached), the Chair, Secretary, and CEO of AIP</w:t>
            </w:r>
            <w:proofErr w:type="gramStart"/>
            <w:r>
              <w:rPr>
                <w:b/>
              </w:rPr>
              <w:t>,  and</w:t>
            </w:r>
            <w:proofErr w:type="gramEnd"/>
            <w:r>
              <w:rPr>
                <w:b/>
              </w:rPr>
              <w:t xml:space="preserve"> 2-4 outside / at-large members to provide special expertise (fund-raising, </w:t>
            </w:r>
            <w:proofErr w:type="spellStart"/>
            <w:r>
              <w:rPr>
                <w:b/>
              </w:rPr>
              <w:t>etc</w:t>
            </w:r>
            <w:proofErr w:type="spellEnd"/>
            <w:r>
              <w:rPr>
                <w:b/>
              </w:rPr>
              <w:t>).  If/when max size is reached</w:t>
            </w:r>
            <w:proofErr w:type="gramStart"/>
            <w:r>
              <w:rPr>
                <w:b/>
              </w:rPr>
              <w:t>,  the</w:t>
            </w:r>
            <w:proofErr w:type="gramEnd"/>
            <w:r>
              <w:rPr>
                <w:b/>
              </w:rPr>
              <w:t xml:space="preserve"> Board at that time will define how the Board stays within its limits (rotating MS appointees, </w:t>
            </w:r>
            <w:proofErr w:type="spellStart"/>
            <w:r>
              <w:rPr>
                <w:b/>
              </w:rPr>
              <w:t>etc</w:t>
            </w:r>
            <w:proofErr w:type="spellEnd"/>
            <w:r>
              <w:rPr>
                <w:b/>
              </w:rPr>
              <w:t>).  The GB voted to approve this plan, with a timetable that hopes to complete the reorganization for early 2015.  At this point the Executive Committee of AIP will no longer exist, as the Board will take on its activities.</w:t>
            </w:r>
          </w:p>
          <w:p w:rsidR="0097119E" w:rsidRDefault="0097119E">
            <w:pPr>
              <w:rPr>
                <w:b/>
              </w:rPr>
            </w:pPr>
          </w:p>
          <w:p w:rsidR="0097119E" w:rsidRDefault="0097119E" w:rsidP="00A24BF4">
            <w:pPr>
              <w:rPr>
                <w:b/>
              </w:rPr>
            </w:pPr>
            <w:r>
              <w:rPr>
                <w:b/>
              </w:rPr>
              <w:t xml:space="preserve">At present there have been no other proposed changes in the Advisory Committee structure of AIP, though this may change over the summer as the SGC finalizes </w:t>
            </w:r>
            <w:r w:rsidR="00A24BF4">
              <w:rPr>
                <w:b/>
              </w:rPr>
              <w:t xml:space="preserve">the changes to the Constitution </w:t>
            </w:r>
            <w:r w:rsidR="00A24BF4">
              <w:rPr>
                <w:b/>
              </w:rPr>
              <w:lastRenderedPageBreak/>
              <w:t xml:space="preserve">and By-laws (NOTE:  Legal counsel has recommended that the Constitution be subsumed into the By-Laws, as a constitution is considered anachronistic.)  Dan will continue as a member of the SGC, with </w:t>
            </w:r>
            <w:proofErr w:type="gramStart"/>
            <w:r w:rsidR="00A24BF4">
              <w:rPr>
                <w:b/>
              </w:rPr>
              <w:t>myself</w:t>
            </w:r>
            <w:proofErr w:type="gramEnd"/>
            <w:r w:rsidR="00A24BF4">
              <w:rPr>
                <w:b/>
              </w:rPr>
              <w:t xml:space="preserve"> as proxy if necessary.</w:t>
            </w:r>
          </w:p>
          <w:p w:rsidR="00A24BF4" w:rsidRDefault="00A24BF4" w:rsidP="00A24BF4">
            <w:pPr>
              <w:rPr>
                <w:b/>
              </w:rPr>
            </w:pPr>
          </w:p>
          <w:p w:rsidR="00A24BF4" w:rsidRDefault="00A24BF4" w:rsidP="00A24BF4">
            <w:pPr>
              <w:rPr>
                <w:b/>
              </w:rPr>
            </w:pPr>
            <w:r>
              <w:rPr>
                <w:b/>
              </w:rPr>
              <w:t>A quick review of the AAPM By-laws by Angela did not show any changes required in the AAPM Governance Documents as a result of this change, though the AIP GB representatives on the AAPM Board would drop from 3 to 1.</w:t>
            </w:r>
          </w:p>
          <w:p w:rsidR="00A24BF4" w:rsidRDefault="00A24BF4" w:rsidP="00A24BF4">
            <w:pPr>
              <w:rPr>
                <w:b/>
              </w:rPr>
            </w:pPr>
          </w:p>
          <w:p w:rsidR="00A24BF4" w:rsidRDefault="00A24BF4" w:rsidP="00A24BF4">
            <w:pPr>
              <w:rPr>
                <w:b/>
              </w:rPr>
            </w:pPr>
            <w:r>
              <w:rPr>
                <w:b/>
              </w:rPr>
              <w:t>Much more will be coming from AIP over the summer, and AAPM, as an AIP Member Society, will have to approve the changes (must pass with no more than one negative MS vote).  At present, no MS is expected to vote negatively.</w:t>
            </w:r>
          </w:p>
        </w:tc>
      </w:tr>
      <w:tr w:rsidR="00E338F1">
        <w:tc>
          <w:tcPr>
            <w:tcW w:w="3348" w:type="dxa"/>
          </w:tcPr>
          <w:p w:rsidR="00E338F1" w:rsidRPr="003164D9" w:rsidRDefault="00E338F1" w:rsidP="00E338F1">
            <w:pPr>
              <w:rPr>
                <w:b/>
              </w:rPr>
            </w:pPr>
            <w:r w:rsidRPr="003164D9">
              <w:rPr>
                <w:b/>
              </w:rPr>
              <w:lastRenderedPageBreak/>
              <w:t>Budget Request ($):</w:t>
            </w:r>
          </w:p>
          <w:p w:rsidR="00E338F1" w:rsidRDefault="00E338F1">
            <w:pPr>
              <w:rPr>
                <w:b/>
              </w:rPr>
            </w:pPr>
          </w:p>
        </w:tc>
        <w:tc>
          <w:tcPr>
            <w:tcW w:w="5508" w:type="dxa"/>
          </w:tcPr>
          <w:p w:rsidR="00E338F1" w:rsidRDefault="00E338F1">
            <w:pPr>
              <w:rPr>
                <w:b/>
              </w:rPr>
            </w:pP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107A31"/>
    <w:rsid w:val="001D3AF5"/>
    <w:rsid w:val="002136EF"/>
    <w:rsid w:val="003164D9"/>
    <w:rsid w:val="0097119E"/>
    <w:rsid w:val="00A24BF4"/>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AIP GB Report_2014-0405.dot</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zailu</dc:creator>
  <cp:lastModifiedBy>Bruce Curran</cp:lastModifiedBy>
  <cp:revision>2</cp:revision>
  <dcterms:created xsi:type="dcterms:W3CDTF">2014-04-05T15:11:00Z</dcterms:created>
  <dcterms:modified xsi:type="dcterms:W3CDTF">2014-04-05T15:11:00Z</dcterms:modified>
</cp:coreProperties>
</file>