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3A0" w14:textId="2E9EFA52" w:rsidR="00C370E1" w:rsidRPr="00FF7D16" w:rsidRDefault="00C370E1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FF7D16">
        <w:rPr>
          <w:rFonts w:ascii="Open Sans" w:hAnsi="Open Sans" w:cs="Open Sans"/>
          <w:b/>
          <w:sz w:val="18"/>
          <w:szCs w:val="18"/>
        </w:rPr>
        <w:t>Appendix 2</w:t>
      </w:r>
    </w:p>
    <w:p w14:paraId="3E11A4F7" w14:textId="77777777" w:rsidR="00C370E1" w:rsidRPr="00FF7D16" w:rsidRDefault="00C370E1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2B774478" w14:textId="585E8B44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sz w:val="18"/>
          <w:szCs w:val="18"/>
        </w:rPr>
      </w:pPr>
      <w:r w:rsidRPr="00FF7D16">
        <w:rPr>
          <w:rFonts w:ascii="Open Sans" w:hAnsi="Open Sans" w:cs="Open Sans"/>
          <w:b/>
          <w:sz w:val="18"/>
          <w:szCs w:val="18"/>
        </w:rPr>
        <w:t>Application for Inclusion in the Joint AAPM/</w:t>
      </w:r>
      <w:r w:rsidR="00C76D2C" w:rsidRPr="00FF7D16">
        <w:rPr>
          <w:rFonts w:ascii="Open Sans" w:hAnsi="Open Sans" w:cs="Open Sans"/>
          <w:b/>
          <w:sz w:val="18"/>
          <w:szCs w:val="18"/>
        </w:rPr>
        <w:t>IROC Houston</w:t>
      </w:r>
      <w:r w:rsidRPr="00FF7D16">
        <w:rPr>
          <w:rFonts w:ascii="Open Sans" w:hAnsi="Open Sans" w:cs="Open Sans"/>
          <w:b/>
          <w:sz w:val="18"/>
          <w:szCs w:val="18"/>
        </w:rPr>
        <w:t xml:space="preserve"> Registry of </w:t>
      </w:r>
      <w:r w:rsidRPr="00FF7D16">
        <w:rPr>
          <w:rFonts w:ascii="Open Sans" w:eastAsia="Times New Roman" w:hAnsi="Open Sans" w:cs="Open Sans"/>
          <w:b/>
          <w:sz w:val="18"/>
          <w:szCs w:val="18"/>
        </w:rPr>
        <w:t>Brachytherapy Sources Complying with AAPM Dosimetric Prerequisites</w:t>
      </w:r>
    </w:p>
    <w:p w14:paraId="198A6CF6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E82EA23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To: Chair, Brachytherapy Subcommittee of the AAPM Therapy Physics Committee</w:t>
      </w:r>
    </w:p>
    <w:p w14:paraId="2F5D3993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267695CB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From: __________________________________________________</w:t>
      </w:r>
    </w:p>
    <w:p w14:paraId="2E5D5AF9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(Manufacturer)</w:t>
      </w:r>
    </w:p>
    <w:p w14:paraId="4E77CE35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52EB998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 xml:space="preserve">Technical contact and </w:t>
      </w:r>
      <w:proofErr w:type="gramStart"/>
      <w:r w:rsidRPr="00FF7D16">
        <w:rPr>
          <w:rFonts w:ascii="Open Sans" w:eastAsia="Times New Roman" w:hAnsi="Open Sans" w:cs="Open Sans"/>
          <w:sz w:val="18"/>
          <w:szCs w:val="18"/>
        </w:rPr>
        <w:t>address:_</w:t>
      </w:r>
      <w:proofErr w:type="gramEnd"/>
      <w:r w:rsidRPr="00FF7D16">
        <w:rPr>
          <w:rFonts w:ascii="Open Sans" w:eastAsia="Times New Roman" w:hAnsi="Open Sans" w:cs="Open Sans"/>
          <w:sz w:val="18"/>
          <w:szCs w:val="18"/>
        </w:rPr>
        <w:t>__________________________________________</w:t>
      </w:r>
    </w:p>
    <w:p w14:paraId="4C92DD1A" w14:textId="77777777" w:rsidR="00E764DF" w:rsidRPr="00FF7D16" w:rsidRDefault="00E764DF" w:rsidP="00C370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93902F7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B33935F" w14:textId="77777777" w:rsidR="00AC7DA8" w:rsidRPr="00FF7D16" w:rsidRDefault="00E764DF" w:rsidP="00C370E1">
      <w:pPr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F7D16">
        <w:rPr>
          <w:rFonts w:ascii="Open Sans" w:hAnsi="Open Sans" w:cs="Open Sans"/>
          <w:color w:val="000000"/>
          <w:sz w:val="18"/>
          <w:szCs w:val="18"/>
        </w:rPr>
        <w:t>The source identified below is believed by the manufacturer to meet the AAPM Prerequisites for dosimetry of brachytherapy sources. The prerequisites for low-energy sources are defined in: "Dosimetric prerequisites for routine clinical use of new low energy photon interstitial brachytherapy sources: Recommendations of the American Association of Physicists in Medicine Radiation Therapy Committee". Med. Phys. 25, 2269-2270 (1998). The prerequisites for high-energy sources are defined in: "Dosimetric prerequisites for routine clinical use of photon</w:t>
      </w:r>
      <w:r w:rsidR="00412389" w:rsidRPr="00FF7D16">
        <w:rPr>
          <w:rFonts w:ascii="Open Sans" w:hAnsi="Open Sans" w:cs="Open Sans"/>
          <w:color w:val="000000"/>
          <w:sz w:val="18"/>
          <w:szCs w:val="18"/>
        </w:rPr>
        <w:t>-</w:t>
      </w:r>
      <w:r w:rsidRPr="00FF7D16">
        <w:rPr>
          <w:rFonts w:ascii="Open Sans" w:hAnsi="Open Sans" w:cs="Open Sans"/>
          <w:color w:val="000000"/>
          <w:sz w:val="18"/>
          <w:szCs w:val="18"/>
        </w:rPr>
        <w:t xml:space="preserve">emitting brachytherapy sources with average energy higher than 50 keV," Med. Phys. 34, 37-40 (2007). Note that the recommendation regarding the calibration frequency of the vendor’s sources for in-house QA (recommendation number 6 in the reference for high-energy sources) has been extended by the AAPM High Energy Brachytherapy Source Dosimetry Working Group to 2 years for </w:t>
      </w:r>
      <w:r w:rsidRPr="00FF7D16">
        <w:rPr>
          <w:rFonts w:ascii="Open Sans" w:hAnsi="Open Sans" w:cs="Open Sans"/>
          <w:color w:val="000000"/>
          <w:sz w:val="18"/>
          <w:szCs w:val="18"/>
          <w:vertAlign w:val="superscript"/>
        </w:rPr>
        <w:t>192</w:t>
      </w:r>
      <w:r w:rsidRPr="00FF7D16">
        <w:rPr>
          <w:rFonts w:ascii="Open Sans" w:hAnsi="Open Sans" w:cs="Open Sans"/>
          <w:color w:val="000000"/>
          <w:sz w:val="18"/>
          <w:szCs w:val="18"/>
        </w:rPr>
        <w:t xml:space="preserve">Ir, </w:t>
      </w:r>
      <w:r w:rsidRPr="00FF7D16">
        <w:rPr>
          <w:rFonts w:ascii="Open Sans" w:hAnsi="Open Sans" w:cs="Open Sans"/>
          <w:color w:val="000000"/>
          <w:sz w:val="18"/>
          <w:szCs w:val="18"/>
          <w:vertAlign w:val="superscript"/>
        </w:rPr>
        <w:t>137</w:t>
      </w:r>
      <w:r w:rsidRPr="00FF7D16">
        <w:rPr>
          <w:rFonts w:ascii="Open Sans" w:hAnsi="Open Sans" w:cs="Open Sans"/>
          <w:color w:val="000000"/>
          <w:sz w:val="18"/>
          <w:szCs w:val="18"/>
        </w:rPr>
        <w:t>Cs</w:t>
      </w:r>
      <w:r w:rsidR="005110BA" w:rsidRPr="00FF7D16">
        <w:rPr>
          <w:rFonts w:ascii="Open Sans" w:hAnsi="Open Sans" w:cs="Open Sans"/>
          <w:color w:val="000000"/>
          <w:sz w:val="18"/>
          <w:szCs w:val="18"/>
        </w:rPr>
        <w:t>,</w:t>
      </w:r>
      <w:r w:rsidRPr="00FF7D16">
        <w:rPr>
          <w:rFonts w:ascii="Open Sans" w:hAnsi="Open Sans" w:cs="Open Sans"/>
          <w:color w:val="000000"/>
          <w:sz w:val="18"/>
          <w:szCs w:val="18"/>
        </w:rPr>
        <w:t xml:space="preserve"> and </w:t>
      </w:r>
      <w:r w:rsidRPr="00FF7D16">
        <w:rPr>
          <w:rFonts w:ascii="Open Sans" w:hAnsi="Open Sans" w:cs="Open Sans"/>
          <w:color w:val="000000"/>
          <w:sz w:val="18"/>
          <w:szCs w:val="18"/>
          <w:vertAlign w:val="superscript"/>
        </w:rPr>
        <w:t>60</w:t>
      </w:r>
      <w:r w:rsidRPr="00FF7D16">
        <w:rPr>
          <w:rFonts w:ascii="Open Sans" w:hAnsi="Open Sans" w:cs="Open Sans"/>
          <w:color w:val="000000"/>
          <w:sz w:val="18"/>
          <w:szCs w:val="18"/>
        </w:rPr>
        <w:t>Co sources.</w:t>
      </w:r>
    </w:p>
    <w:p w14:paraId="64A994F4" w14:textId="77777777" w:rsidR="00E764DF" w:rsidRPr="00FF7D16" w:rsidRDefault="00E764DF" w:rsidP="00C370E1">
      <w:pPr>
        <w:spacing w:line="276" w:lineRule="auto"/>
        <w:jc w:val="both"/>
        <w:rPr>
          <w:rFonts w:ascii="Open Sans" w:hAnsi="Open Sans" w:cs="Open Sans"/>
          <w:i/>
          <w:sz w:val="18"/>
          <w:szCs w:val="18"/>
          <w:lang w:val="en-GB"/>
        </w:rPr>
      </w:pPr>
      <w:r w:rsidRPr="00FF7D16">
        <w:rPr>
          <w:rFonts w:ascii="Open Sans" w:hAnsi="Open Sans" w:cs="Open Sans"/>
          <w:i/>
          <w:sz w:val="18"/>
          <w:szCs w:val="18"/>
          <w:lang w:val="en-GB"/>
        </w:rPr>
        <w:t>As the recommendations are intended to apply internationally, some of the agencies, organizations</w:t>
      </w:r>
      <w:r w:rsidR="005110BA" w:rsidRPr="00FF7D16">
        <w:rPr>
          <w:rFonts w:ascii="Open Sans" w:hAnsi="Open Sans" w:cs="Open Sans"/>
          <w:i/>
          <w:sz w:val="18"/>
          <w:szCs w:val="18"/>
          <w:lang w:val="en-GB"/>
        </w:rPr>
        <w:t>,</w:t>
      </w:r>
      <w:r w:rsidRPr="00FF7D16">
        <w:rPr>
          <w:rFonts w:ascii="Open Sans" w:hAnsi="Open Sans" w:cs="Open Sans"/>
          <w:i/>
          <w:sz w:val="18"/>
          <w:szCs w:val="18"/>
          <w:lang w:val="en-GB"/>
        </w:rPr>
        <w:t xml:space="preserve"> and standard laboratories identified within the U.S. could be, at the discretion of the BTSC, interpreted in the context of the arrangements in other countries where applicable.</w:t>
      </w:r>
    </w:p>
    <w:p w14:paraId="58C42EA1" w14:textId="77777777" w:rsidR="00E764DF" w:rsidRPr="00FF7D16" w:rsidRDefault="00E764DF" w:rsidP="00C370E1">
      <w:pPr>
        <w:spacing w:line="276" w:lineRule="auto"/>
        <w:jc w:val="both"/>
        <w:rPr>
          <w:rFonts w:ascii="Open Sans" w:hAnsi="Open Sans" w:cs="Open Sans"/>
          <w:i/>
          <w:sz w:val="18"/>
          <w:szCs w:val="18"/>
          <w:lang w:val="en-GB"/>
        </w:rPr>
      </w:pPr>
    </w:p>
    <w:p w14:paraId="793DB618" w14:textId="77777777" w:rsidR="00E764DF" w:rsidRPr="00FF7D16" w:rsidRDefault="00E764DF" w:rsidP="00C370E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F7D16">
        <w:rPr>
          <w:rFonts w:ascii="Open Sans" w:hAnsi="Open Sans" w:cs="Open Sans"/>
          <w:color w:val="000000"/>
          <w:sz w:val="18"/>
          <w:szCs w:val="18"/>
        </w:rPr>
        <w:t xml:space="preserve">The manufacturer hereby requests that the source be included by the AAPM and </w:t>
      </w:r>
      <w:r w:rsidR="00C76D2C" w:rsidRPr="00FF7D16">
        <w:rPr>
          <w:rFonts w:ascii="Open Sans" w:hAnsi="Open Sans" w:cs="Open Sans"/>
          <w:color w:val="000000"/>
          <w:sz w:val="18"/>
          <w:szCs w:val="18"/>
        </w:rPr>
        <w:t xml:space="preserve">IROC Houston </w:t>
      </w:r>
      <w:r w:rsidRPr="00FF7D16">
        <w:rPr>
          <w:rFonts w:ascii="Open Sans" w:hAnsi="Open Sans" w:cs="Open Sans"/>
          <w:color w:val="000000"/>
          <w:sz w:val="18"/>
          <w:szCs w:val="18"/>
        </w:rPr>
        <w:t>on its web-based Registry of</w:t>
      </w:r>
      <w:r w:rsidR="00546243" w:rsidRPr="00FF7D16">
        <w:rPr>
          <w:rFonts w:ascii="Open Sans" w:hAnsi="Open Sans" w:cs="Open Sans"/>
          <w:color w:val="000000"/>
          <w:sz w:val="18"/>
          <w:szCs w:val="18"/>
        </w:rPr>
        <w:t xml:space="preserve"> brachytherapy</w:t>
      </w:r>
      <w:r w:rsidRPr="00FF7D16">
        <w:rPr>
          <w:rFonts w:ascii="Open Sans" w:hAnsi="Open Sans" w:cs="Open Sans"/>
          <w:color w:val="000000"/>
          <w:sz w:val="18"/>
          <w:szCs w:val="18"/>
        </w:rPr>
        <w:t xml:space="preserve"> sources complying with the </w:t>
      </w:r>
      <w:r w:rsidR="00546243" w:rsidRPr="00FF7D16">
        <w:rPr>
          <w:rFonts w:ascii="Open Sans" w:hAnsi="Open Sans" w:cs="Open Sans"/>
          <w:color w:val="000000"/>
          <w:sz w:val="18"/>
          <w:szCs w:val="18"/>
        </w:rPr>
        <w:t>AAPM dosimetric p</w:t>
      </w:r>
      <w:r w:rsidRPr="00FF7D16">
        <w:rPr>
          <w:rFonts w:ascii="Open Sans" w:hAnsi="Open Sans" w:cs="Open Sans"/>
          <w:color w:val="000000"/>
          <w:sz w:val="18"/>
          <w:szCs w:val="18"/>
        </w:rPr>
        <w:t>rerequisites.</w:t>
      </w:r>
    </w:p>
    <w:p w14:paraId="4F7FAE3B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04BDC7B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Source Name: __________________________________</w:t>
      </w:r>
    </w:p>
    <w:p w14:paraId="29564CBA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ECA40BA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Model Number: _________________________________</w:t>
      </w:r>
    </w:p>
    <w:p w14:paraId="60221282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62CF7A5" w14:textId="77777777" w:rsidR="00E764DF" w:rsidRPr="00FF7D16" w:rsidRDefault="00AC7DA8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Manufacturer</w:t>
      </w:r>
      <w:r w:rsidR="00E764DF" w:rsidRPr="00FF7D16">
        <w:rPr>
          <w:rFonts w:ascii="Open Sans" w:eastAsia="Times New Roman" w:hAnsi="Open Sans" w:cs="Open Sans"/>
          <w:sz w:val="18"/>
          <w:szCs w:val="18"/>
        </w:rPr>
        <w:t xml:space="preserve">: </w:t>
      </w:r>
      <w:r w:rsidRPr="00FF7D16">
        <w:rPr>
          <w:rFonts w:ascii="Open Sans" w:eastAsia="Times New Roman" w:hAnsi="Open Sans" w:cs="Open Sans"/>
          <w:sz w:val="18"/>
          <w:szCs w:val="18"/>
        </w:rPr>
        <w:t>___</w:t>
      </w:r>
      <w:r w:rsidR="00E764DF" w:rsidRPr="00FF7D16">
        <w:rPr>
          <w:rFonts w:ascii="Open Sans" w:eastAsia="Times New Roman" w:hAnsi="Open Sans" w:cs="Open Sans"/>
          <w:sz w:val="18"/>
          <w:szCs w:val="18"/>
        </w:rPr>
        <w:t>_______________________________</w:t>
      </w:r>
    </w:p>
    <w:p w14:paraId="5625366D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CA5EA5B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Marketed by: ____________________________________</w:t>
      </w:r>
    </w:p>
    <w:p w14:paraId="341CA171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496A339B" w14:textId="6E533359" w:rsidR="00E764DF" w:rsidRPr="00FF7D16" w:rsidRDefault="002C6021" w:rsidP="00C370E1">
      <w:pPr>
        <w:widowControl w:val="0"/>
        <w:autoSpaceDE w:val="0"/>
        <w:autoSpaceDN w:val="0"/>
        <w:adjustRightInd w:val="0"/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hAnsi="Open Sans" w:cs="Open Sans"/>
          <w:color w:val="000000"/>
          <w:sz w:val="18"/>
          <w:szCs w:val="18"/>
        </w:rPr>
        <w:br/>
      </w:r>
      <w:r w:rsidR="00E764DF" w:rsidRPr="00FF7D16">
        <w:rPr>
          <w:rFonts w:ascii="Open Sans" w:hAnsi="Open Sans" w:cs="Open Sans"/>
          <w:color w:val="000000"/>
          <w:sz w:val="18"/>
          <w:szCs w:val="18"/>
        </w:rPr>
        <w:t xml:space="preserve">Accredited Laboratory(s) providing initial reference calibration(s), and </w:t>
      </w:r>
      <w:r w:rsidR="00740218" w:rsidRPr="00FF7D16">
        <w:rPr>
          <w:rFonts w:ascii="Open Sans" w:hAnsi="Open Sans" w:cs="Open Sans"/>
          <w:color w:val="000000"/>
          <w:sz w:val="18"/>
          <w:szCs w:val="18"/>
        </w:rPr>
        <w:t xml:space="preserve">calibration </w:t>
      </w:r>
      <w:r w:rsidR="00E764DF" w:rsidRPr="00FF7D16">
        <w:rPr>
          <w:rFonts w:ascii="Open Sans" w:hAnsi="Open Sans" w:cs="Open Sans"/>
          <w:color w:val="000000"/>
          <w:sz w:val="18"/>
          <w:szCs w:val="18"/>
        </w:rPr>
        <w:t>date(s)</w:t>
      </w:r>
      <w:r w:rsidR="00E764DF" w:rsidRPr="00FF7D16">
        <w:rPr>
          <w:rFonts w:ascii="Open Sans" w:eastAsia="Times New Roman" w:hAnsi="Open Sans" w:cs="Open Sans"/>
          <w:sz w:val="18"/>
          <w:szCs w:val="18"/>
        </w:rPr>
        <w:t>:</w:t>
      </w:r>
    </w:p>
    <w:p w14:paraId="0A4AAD0F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________________________________________________</w:t>
      </w:r>
    </w:p>
    <w:p w14:paraId="6DDDD391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20A4793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Dates of comparisons between accredited laboratory and vendor calibration procedures during the last 2 years:</w:t>
      </w:r>
    </w:p>
    <w:p w14:paraId="0F68D3CF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________________________________________________</w:t>
      </w:r>
    </w:p>
    <w:p w14:paraId="439253FC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FACD5B1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Do you provide your clients with air-kerma strength calibrations directly or indirectly traceable to the appropriate NIST standard?</w:t>
      </w:r>
    </w:p>
    <w:p w14:paraId="048EDDC4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________________________________________________</w:t>
      </w:r>
    </w:p>
    <w:p w14:paraId="77DE6258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296FC860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Please attach publications describing the dosimetric parameters of the source and provide citations.</w:t>
      </w:r>
    </w:p>
    <w:p w14:paraId="4066CED6" w14:textId="77777777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4319B7EA" w14:textId="3BB3D279" w:rsidR="00E764DF" w:rsidRPr="00FF7D16" w:rsidRDefault="00E764DF" w:rsidP="00C370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Please describe your program of measurement quality assurance and calibration constancy. Indicate the laboratory(s) with which frequent comparisons will be made.</w:t>
      </w:r>
    </w:p>
    <w:p w14:paraId="6C040D9A" w14:textId="0378D245" w:rsidR="00261E77" w:rsidRPr="006956DE" w:rsidRDefault="00261E77" w:rsidP="006956DE">
      <w:pPr>
        <w:rPr>
          <w:rFonts w:ascii="Open Sans" w:eastAsia="Times New Roman" w:hAnsi="Open Sans" w:cs="Open Sans"/>
          <w:sz w:val="18"/>
          <w:szCs w:val="18"/>
        </w:rPr>
      </w:pPr>
    </w:p>
    <w:sectPr w:rsidR="00261E77" w:rsidRPr="006956DE" w:rsidSect="00FF7D1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8D34" w14:textId="77777777" w:rsidR="006253D6" w:rsidRDefault="006253D6">
      <w:r>
        <w:separator/>
      </w:r>
    </w:p>
  </w:endnote>
  <w:endnote w:type="continuationSeparator" w:id="0">
    <w:p w14:paraId="5181DB2C" w14:textId="77777777" w:rsidR="006253D6" w:rsidRDefault="0062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92EF" w14:textId="3CC50B67" w:rsidR="00A24C2D" w:rsidRPr="003458CB" w:rsidRDefault="00A24C2D" w:rsidP="00375717">
    <w:pPr>
      <w:pBdr>
        <w:top w:val="single" w:sz="4" w:space="1" w:color="auto"/>
      </w:pBdr>
      <w:rPr>
        <w:rFonts w:ascii="Arial" w:eastAsia="Times New Roman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C031" w14:textId="77777777" w:rsidR="006253D6" w:rsidRDefault="006253D6">
      <w:r>
        <w:separator/>
      </w:r>
    </w:p>
  </w:footnote>
  <w:footnote w:type="continuationSeparator" w:id="0">
    <w:p w14:paraId="44EE73B0" w14:textId="77777777" w:rsidR="006253D6" w:rsidRDefault="0062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AE1"/>
    <w:multiLevelType w:val="hybridMultilevel"/>
    <w:tmpl w:val="179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31BD"/>
    <w:multiLevelType w:val="hybridMultilevel"/>
    <w:tmpl w:val="2E5CCDEE"/>
    <w:lvl w:ilvl="0" w:tplc="2472A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96E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0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A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7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A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D0964"/>
    <w:multiLevelType w:val="hybridMultilevel"/>
    <w:tmpl w:val="F936268E"/>
    <w:lvl w:ilvl="0" w:tplc="6FF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4D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5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7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8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0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A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60E4E"/>
    <w:multiLevelType w:val="hybridMultilevel"/>
    <w:tmpl w:val="CEA07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76058"/>
    <w:multiLevelType w:val="hybridMultilevel"/>
    <w:tmpl w:val="39EEF232"/>
    <w:lvl w:ilvl="0" w:tplc="476A2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26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A5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0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5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0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6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3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CC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23EAA"/>
    <w:multiLevelType w:val="hybridMultilevel"/>
    <w:tmpl w:val="90F6964A"/>
    <w:lvl w:ilvl="0" w:tplc="617EA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1C29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30B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42AA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C6F4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8AEB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B457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942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6E22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656CE"/>
    <w:multiLevelType w:val="hybridMultilevel"/>
    <w:tmpl w:val="2EEC6616"/>
    <w:lvl w:ilvl="0" w:tplc="EEF2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16F15"/>
    <w:multiLevelType w:val="hybridMultilevel"/>
    <w:tmpl w:val="A1BE7058"/>
    <w:lvl w:ilvl="0" w:tplc="E3F4C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C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044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A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C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07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C3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7F"/>
    <w:rsid w:val="0000003F"/>
    <w:rsid w:val="00004472"/>
    <w:rsid w:val="0001673F"/>
    <w:rsid w:val="000224F9"/>
    <w:rsid w:val="00024567"/>
    <w:rsid w:val="000301DF"/>
    <w:rsid w:val="00053123"/>
    <w:rsid w:val="0008222D"/>
    <w:rsid w:val="00082D7A"/>
    <w:rsid w:val="000849A0"/>
    <w:rsid w:val="00084D0C"/>
    <w:rsid w:val="000B31F9"/>
    <w:rsid w:val="000B7B52"/>
    <w:rsid w:val="000C5159"/>
    <w:rsid w:val="000D639B"/>
    <w:rsid w:val="000D67D1"/>
    <w:rsid w:val="000D79A9"/>
    <w:rsid w:val="000E5E22"/>
    <w:rsid w:val="00102039"/>
    <w:rsid w:val="001048C0"/>
    <w:rsid w:val="0011376D"/>
    <w:rsid w:val="001244F6"/>
    <w:rsid w:val="00124F92"/>
    <w:rsid w:val="00126202"/>
    <w:rsid w:val="0013334D"/>
    <w:rsid w:val="001337BE"/>
    <w:rsid w:val="0013560E"/>
    <w:rsid w:val="00152360"/>
    <w:rsid w:val="00162189"/>
    <w:rsid w:val="001672BF"/>
    <w:rsid w:val="001756F7"/>
    <w:rsid w:val="00191874"/>
    <w:rsid w:val="00195A1C"/>
    <w:rsid w:val="001C05DB"/>
    <w:rsid w:val="001C2B49"/>
    <w:rsid w:val="001F442B"/>
    <w:rsid w:val="0021487F"/>
    <w:rsid w:val="00232D0A"/>
    <w:rsid w:val="00261E77"/>
    <w:rsid w:val="00263880"/>
    <w:rsid w:val="00263A5D"/>
    <w:rsid w:val="00275905"/>
    <w:rsid w:val="00282BB0"/>
    <w:rsid w:val="00290BF3"/>
    <w:rsid w:val="002973B0"/>
    <w:rsid w:val="002B17D1"/>
    <w:rsid w:val="002B1B84"/>
    <w:rsid w:val="002B3889"/>
    <w:rsid w:val="002C0DDF"/>
    <w:rsid w:val="002C6021"/>
    <w:rsid w:val="002D0D38"/>
    <w:rsid w:val="00301E96"/>
    <w:rsid w:val="003030B8"/>
    <w:rsid w:val="00311155"/>
    <w:rsid w:val="00326E24"/>
    <w:rsid w:val="0033245D"/>
    <w:rsid w:val="00343BF3"/>
    <w:rsid w:val="003458CB"/>
    <w:rsid w:val="0034644E"/>
    <w:rsid w:val="00375717"/>
    <w:rsid w:val="003770DD"/>
    <w:rsid w:val="00380180"/>
    <w:rsid w:val="00393CC3"/>
    <w:rsid w:val="003A4881"/>
    <w:rsid w:val="003C03B7"/>
    <w:rsid w:val="003D0F6A"/>
    <w:rsid w:val="003E5B0F"/>
    <w:rsid w:val="003F227E"/>
    <w:rsid w:val="003F4C69"/>
    <w:rsid w:val="00405A94"/>
    <w:rsid w:val="00407790"/>
    <w:rsid w:val="00412389"/>
    <w:rsid w:val="00416006"/>
    <w:rsid w:val="00420391"/>
    <w:rsid w:val="0045440A"/>
    <w:rsid w:val="00464D60"/>
    <w:rsid w:val="004710AD"/>
    <w:rsid w:val="0048269E"/>
    <w:rsid w:val="004832CF"/>
    <w:rsid w:val="00484A50"/>
    <w:rsid w:val="00491A11"/>
    <w:rsid w:val="004B7D72"/>
    <w:rsid w:val="004C00AE"/>
    <w:rsid w:val="004C4D36"/>
    <w:rsid w:val="004D2254"/>
    <w:rsid w:val="004E2C4D"/>
    <w:rsid w:val="004E6872"/>
    <w:rsid w:val="005110BA"/>
    <w:rsid w:val="00515609"/>
    <w:rsid w:val="0052713E"/>
    <w:rsid w:val="005340F0"/>
    <w:rsid w:val="00546243"/>
    <w:rsid w:val="005725F1"/>
    <w:rsid w:val="00585801"/>
    <w:rsid w:val="00593E30"/>
    <w:rsid w:val="005A450D"/>
    <w:rsid w:val="005B452E"/>
    <w:rsid w:val="005B7ACE"/>
    <w:rsid w:val="005C7EFC"/>
    <w:rsid w:val="005E10B8"/>
    <w:rsid w:val="005E6C44"/>
    <w:rsid w:val="005F73A1"/>
    <w:rsid w:val="006009FC"/>
    <w:rsid w:val="0061164F"/>
    <w:rsid w:val="00613465"/>
    <w:rsid w:val="00616167"/>
    <w:rsid w:val="0061665C"/>
    <w:rsid w:val="006171BE"/>
    <w:rsid w:val="00617D35"/>
    <w:rsid w:val="006253D6"/>
    <w:rsid w:val="0062544F"/>
    <w:rsid w:val="00630A13"/>
    <w:rsid w:val="00631EC5"/>
    <w:rsid w:val="0064478E"/>
    <w:rsid w:val="00645887"/>
    <w:rsid w:val="00646C41"/>
    <w:rsid w:val="00663C9D"/>
    <w:rsid w:val="00671E68"/>
    <w:rsid w:val="00672E96"/>
    <w:rsid w:val="00672F97"/>
    <w:rsid w:val="006736B6"/>
    <w:rsid w:val="0069193F"/>
    <w:rsid w:val="006956DE"/>
    <w:rsid w:val="0069766B"/>
    <w:rsid w:val="006B0676"/>
    <w:rsid w:val="006B6DF0"/>
    <w:rsid w:val="006C332C"/>
    <w:rsid w:val="006C3A40"/>
    <w:rsid w:val="006D3BCB"/>
    <w:rsid w:val="006E5B5E"/>
    <w:rsid w:val="006F3A04"/>
    <w:rsid w:val="006F5F3C"/>
    <w:rsid w:val="00703BBA"/>
    <w:rsid w:val="007050DD"/>
    <w:rsid w:val="00707A36"/>
    <w:rsid w:val="00715FAA"/>
    <w:rsid w:val="00716F3E"/>
    <w:rsid w:val="0072274D"/>
    <w:rsid w:val="007234F0"/>
    <w:rsid w:val="00727741"/>
    <w:rsid w:val="007310CC"/>
    <w:rsid w:val="00740218"/>
    <w:rsid w:val="0074101A"/>
    <w:rsid w:val="00741A38"/>
    <w:rsid w:val="00744535"/>
    <w:rsid w:val="00765D3C"/>
    <w:rsid w:val="00770ED5"/>
    <w:rsid w:val="00771C8F"/>
    <w:rsid w:val="007740AA"/>
    <w:rsid w:val="007816FD"/>
    <w:rsid w:val="00791AB9"/>
    <w:rsid w:val="007A048B"/>
    <w:rsid w:val="007A3C03"/>
    <w:rsid w:val="007B4DF7"/>
    <w:rsid w:val="007C46E4"/>
    <w:rsid w:val="007D02DC"/>
    <w:rsid w:val="007D363E"/>
    <w:rsid w:val="007E4144"/>
    <w:rsid w:val="007E4FD4"/>
    <w:rsid w:val="007E5046"/>
    <w:rsid w:val="0080014D"/>
    <w:rsid w:val="00807A04"/>
    <w:rsid w:val="00811473"/>
    <w:rsid w:val="00811A85"/>
    <w:rsid w:val="00816289"/>
    <w:rsid w:val="008279CD"/>
    <w:rsid w:val="008312E5"/>
    <w:rsid w:val="008348FA"/>
    <w:rsid w:val="00850242"/>
    <w:rsid w:val="00851FBD"/>
    <w:rsid w:val="008545A3"/>
    <w:rsid w:val="00876B7D"/>
    <w:rsid w:val="00880DCC"/>
    <w:rsid w:val="0088474C"/>
    <w:rsid w:val="008902C8"/>
    <w:rsid w:val="00893E29"/>
    <w:rsid w:val="008A15F7"/>
    <w:rsid w:val="008A2716"/>
    <w:rsid w:val="008B13A9"/>
    <w:rsid w:val="008B1B55"/>
    <w:rsid w:val="008C77D3"/>
    <w:rsid w:val="008D2C01"/>
    <w:rsid w:val="008D3636"/>
    <w:rsid w:val="008E70F3"/>
    <w:rsid w:val="008F137A"/>
    <w:rsid w:val="008F7346"/>
    <w:rsid w:val="0091560E"/>
    <w:rsid w:val="00921744"/>
    <w:rsid w:val="00922C14"/>
    <w:rsid w:val="00940AAA"/>
    <w:rsid w:val="00946FE8"/>
    <w:rsid w:val="00951D4A"/>
    <w:rsid w:val="00954127"/>
    <w:rsid w:val="00961819"/>
    <w:rsid w:val="0096240A"/>
    <w:rsid w:val="00967196"/>
    <w:rsid w:val="0098101D"/>
    <w:rsid w:val="009831F2"/>
    <w:rsid w:val="009933FE"/>
    <w:rsid w:val="009938D8"/>
    <w:rsid w:val="00994B52"/>
    <w:rsid w:val="009A2EC2"/>
    <w:rsid w:val="009A77D8"/>
    <w:rsid w:val="009B5372"/>
    <w:rsid w:val="009C1E4E"/>
    <w:rsid w:val="009F2795"/>
    <w:rsid w:val="009F636F"/>
    <w:rsid w:val="009F7610"/>
    <w:rsid w:val="00A02749"/>
    <w:rsid w:val="00A03A9A"/>
    <w:rsid w:val="00A11686"/>
    <w:rsid w:val="00A2207F"/>
    <w:rsid w:val="00A24C2D"/>
    <w:rsid w:val="00A26B8D"/>
    <w:rsid w:val="00A3698E"/>
    <w:rsid w:val="00A422F6"/>
    <w:rsid w:val="00A4249C"/>
    <w:rsid w:val="00A665DA"/>
    <w:rsid w:val="00A7051C"/>
    <w:rsid w:val="00A72C2F"/>
    <w:rsid w:val="00A75B19"/>
    <w:rsid w:val="00A7725C"/>
    <w:rsid w:val="00A85CA2"/>
    <w:rsid w:val="00AB0B20"/>
    <w:rsid w:val="00AC046E"/>
    <w:rsid w:val="00AC72A7"/>
    <w:rsid w:val="00AC7DA8"/>
    <w:rsid w:val="00AD4DFB"/>
    <w:rsid w:val="00AE6836"/>
    <w:rsid w:val="00AF47BD"/>
    <w:rsid w:val="00B132DE"/>
    <w:rsid w:val="00B21A02"/>
    <w:rsid w:val="00B27B16"/>
    <w:rsid w:val="00B31221"/>
    <w:rsid w:val="00B3329F"/>
    <w:rsid w:val="00B363C7"/>
    <w:rsid w:val="00B3772C"/>
    <w:rsid w:val="00B454E5"/>
    <w:rsid w:val="00B6077E"/>
    <w:rsid w:val="00B61AA0"/>
    <w:rsid w:val="00B71145"/>
    <w:rsid w:val="00B73312"/>
    <w:rsid w:val="00B74800"/>
    <w:rsid w:val="00B76D5D"/>
    <w:rsid w:val="00B81235"/>
    <w:rsid w:val="00B83AB0"/>
    <w:rsid w:val="00B95EC8"/>
    <w:rsid w:val="00BB1687"/>
    <w:rsid w:val="00BB6392"/>
    <w:rsid w:val="00BB7B1B"/>
    <w:rsid w:val="00BC5EF8"/>
    <w:rsid w:val="00BD058B"/>
    <w:rsid w:val="00BD1261"/>
    <w:rsid w:val="00BD1634"/>
    <w:rsid w:val="00BD4990"/>
    <w:rsid w:val="00BD5B83"/>
    <w:rsid w:val="00BE29DB"/>
    <w:rsid w:val="00BE3ED6"/>
    <w:rsid w:val="00BF4B44"/>
    <w:rsid w:val="00C01C89"/>
    <w:rsid w:val="00C04849"/>
    <w:rsid w:val="00C06A0A"/>
    <w:rsid w:val="00C0726E"/>
    <w:rsid w:val="00C11116"/>
    <w:rsid w:val="00C16B17"/>
    <w:rsid w:val="00C17076"/>
    <w:rsid w:val="00C21C8D"/>
    <w:rsid w:val="00C370E1"/>
    <w:rsid w:val="00C46E34"/>
    <w:rsid w:val="00C53CB3"/>
    <w:rsid w:val="00C55B91"/>
    <w:rsid w:val="00C5750F"/>
    <w:rsid w:val="00C64242"/>
    <w:rsid w:val="00C64499"/>
    <w:rsid w:val="00C73550"/>
    <w:rsid w:val="00C76D2C"/>
    <w:rsid w:val="00C94A82"/>
    <w:rsid w:val="00CB531B"/>
    <w:rsid w:val="00CB5B25"/>
    <w:rsid w:val="00CC055D"/>
    <w:rsid w:val="00CC4D78"/>
    <w:rsid w:val="00CD4E1C"/>
    <w:rsid w:val="00CD77A8"/>
    <w:rsid w:val="00CE1E1F"/>
    <w:rsid w:val="00CE50A9"/>
    <w:rsid w:val="00CE6D6C"/>
    <w:rsid w:val="00CF52D5"/>
    <w:rsid w:val="00D14B0E"/>
    <w:rsid w:val="00D1725A"/>
    <w:rsid w:val="00D24637"/>
    <w:rsid w:val="00D277B3"/>
    <w:rsid w:val="00D31824"/>
    <w:rsid w:val="00D35D6D"/>
    <w:rsid w:val="00D73448"/>
    <w:rsid w:val="00DA0D16"/>
    <w:rsid w:val="00DA56FE"/>
    <w:rsid w:val="00DB1B51"/>
    <w:rsid w:val="00DC00A6"/>
    <w:rsid w:val="00DC6ABB"/>
    <w:rsid w:val="00DC7BEF"/>
    <w:rsid w:val="00DC7E23"/>
    <w:rsid w:val="00DD075B"/>
    <w:rsid w:val="00DD0904"/>
    <w:rsid w:val="00DE6759"/>
    <w:rsid w:val="00DF4BC1"/>
    <w:rsid w:val="00E02FF6"/>
    <w:rsid w:val="00E03471"/>
    <w:rsid w:val="00E04D67"/>
    <w:rsid w:val="00E110D8"/>
    <w:rsid w:val="00E1390B"/>
    <w:rsid w:val="00E249C5"/>
    <w:rsid w:val="00E37CE6"/>
    <w:rsid w:val="00E37E9E"/>
    <w:rsid w:val="00E61CC7"/>
    <w:rsid w:val="00E63768"/>
    <w:rsid w:val="00E65CBC"/>
    <w:rsid w:val="00E7642F"/>
    <w:rsid w:val="00E764DF"/>
    <w:rsid w:val="00EA200F"/>
    <w:rsid w:val="00EA2346"/>
    <w:rsid w:val="00EA285D"/>
    <w:rsid w:val="00EA342E"/>
    <w:rsid w:val="00EA38A8"/>
    <w:rsid w:val="00EB6E4D"/>
    <w:rsid w:val="00ED163D"/>
    <w:rsid w:val="00EF4DF6"/>
    <w:rsid w:val="00F0465A"/>
    <w:rsid w:val="00F06508"/>
    <w:rsid w:val="00F155C7"/>
    <w:rsid w:val="00F30738"/>
    <w:rsid w:val="00F37166"/>
    <w:rsid w:val="00F42BEC"/>
    <w:rsid w:val="00F463C1"/>
    <w:rsid w:val="00F641D8"/>
    <w:rsid w:val="00F64FCF"/>
    <w:rsid w:val="00F90DB9"/>
    <w:rsid w:val="00F94328"/>
    <w:rsid w:val="00FA0477"/>
    <w:rsid w:val="00FB0954"/>
    <w:rsid w:val="00FB307C"/>
    <w:rsid w:val="00FB5467"/>
    <w:rsid w:val="00FC0C78"/>
    <w:rsid w:val="00FC7160"/>
    <w:rsid w:val="00FD5E40"/>
    <w:rsid w:val="00FD67BF"/>
    <w:rsid w:val="00FE26CE"/>
    <w:rsid w:val="00FE6F45"/>
    <w:rsid w:val="00FF1DB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425122"/>
  <w15:chartTrackingRefBased/>
  <w15:docId w15:val="{DD151178-8AD6-4274-83D1-C317587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" w:eastAsia="Times New Roman" w:hAnsi="TimesNew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" w:eastAsia="Times New Roman" w:hAnsi="TimesNewRoman"/>
      <w:b/>
      <w:sz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22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b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BodyTextIndent3">
    <w:name w:val="Body Text Indent 3"/>
    <w:basedOn w:val="Normal"/>
    <w:pPr>
      <w:ind w:left="72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7E56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6B2670"/>
    <w:rPr>
      <w:b/>
      <w:bCs/>
    </w:rPr>
  </w:style>
  <w:style w:type="table" w:styleId="TableGrid">
    <w:name w:val="Table Grid"/>
    <w:basedOn w:val="TableNormal"/>
    <w:rsid w:val="008D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66B"/>
    <w:rPr>
      <w:color w:val="0000FF"/>
      <w:u w:val="single"/>
    </w:rPr>
  </w:style>
  <w:style w:type="character" w:styleId="FollowedHyperlink">
    <w:name w:val="FollowedHyperlink"/>
    <w:rsid w:val="00BB7B1B"/>
    <w:rPr>
      <w:color w:val="954F72"/>
      <w:u w:val="single"/>
    </w:rPr>
  </w:style>
  <w:style w:type="character" w:customStyle="1" w:styleId="Heading3Char">
    <w:name w:val="Heading 3 Char"/>
    <w:link w:val="Heading3"/>
    <w:semiHidden/>
    <w:rsid w:val="003F227E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LineNumber">
    <w:name w:val="line number"/>
    <w:rsid w:val="00102039"/>
  </w:style>
  <w:style w:type="character" w:customStyle="1" w:styleId="Olstomnmnande1">
    <w:name w:val="Olöst omnämnande1"/>
    <w:uiPriority w:val="99"/>
    <w:semiHidden/>
    <w:unhideWhenUsed/>
    <w:rsid w:val="00B21A0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91874"/>
  </w:style>
  <w:style w:type="paragraph" w:styleId="Revision">
    <w:name w:val="Revision"/>
    <w:hidden/>
    <w:uiPriority w:val="99"/>
    <w:semiHidden/>
    <w:rsid w:val="00A85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015C-1817-4591-8F74-351EF9E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Registry Policies</vt:lpstr>
      <vt:lpstr>Registry Policies</vt:lpstr>
      <vt:lpstr>Registry Policies</vt:lpstr>
    </vt:vector>
  </TitlesOfParts>
  <Company>MDACC</Company>
  <LinksUpToDate>false</LinksUpToDate>
  <CharactersWithSpaces>2750</CharactersWithSpaces>
  <SharedDoc>false</SharedDoc>
  <HLinks>
    <vt:vector size="78" baseType="variant">
      <vt:variant>
        <vt:i4>6094968</vt:i4>
      </vt:variant>
      <vt:variant>
        <vt:i4>39</vt:i4>
      </vt:variant>
      <vt:variant>
        <vt:i4>0</vt:i4>
      </vt:variant>
      <vt:variant>
        <vt:i4>5</vt:i4>
      </vt:variant>
      <vt:variant>
        <vt:lpwstr>https://aapm.org/org/structure/default.asp?committee_code=CLA</vt:lpwstr>
      </vt:variant>
      <vt:variant>
        <vt:lpwstr/>
      </vt:variant>
      <vt:variant>
        <vt:i4>3997812</vt:i4>
      </vt:variant>
      <vt:variant>
        <vt:i4>36</vt:i4>
      </vt:variant>
      <vt:variant>
        <vt:i4>0</vt:i4>
      </vt:variant>
      <vt:variant>
        <vt:i4>5</vt:i4>
      </vt:variant>
      <vt:variant>
        <vt:lpwstr>https://www.nist.gov/programs-projects/calibration-low-energy-photon-brachytherapy-sources</vt:lpwstr>
      </vt:variant>
      <vt:variant>
        <vt:lpwstr/>
      </vt:variant>
      <vt:variant>
        <vt:i4>917513</vt:i4>
      </vt:variant>
      <vt:variant>
        <vt:i4>33</vt:i4>
      </vt:variant>
      <vt:variant>
        <vt:i4>0</vt:i4>
      </vt:variant>
      <vt:variant>
        <vt:i4>5</vt:i4>
      </vt:variant>
      <vt:variant>
        <vt:lpwstr>http://www.aapm.org/org/policies/documents/AP-75-Application.pdf</vt:lpwstr>
      </vt:variant>
      <vt:variant>
        <vt:lpwstr/>
      </vt:variant>
      <vt:variant>
        <vt:i4>196615</vt:i4>
      </vt:variant>
      <vt:variant>
        <vt:i4>27</vt:i4>
      </vt:variant>
      <vt:variant>
        <vt:i4>0</vt:i4>
      </vt:variant>
      <vt:variant>
        <vt:i4>5</vt:i4>
      </vt:variant>
      <vt:variant>
        <vt:lpwstr>https://www.aapm.org/pubs/reports/detail.asp?docid=99</vt:lpwstr>
      </vt:variant>
      <vt:variant>
        <vt:lpwstr/>
      </vt:variant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Disclaimer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1245281</vt:i4>
      </vt:variant>
      <vt:variant>
        <vt:i4>15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1245281</vt:i4>
      </vt:variant>
      <vt:variant>
        <vt:i4>12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http://irochouston.mdanderson.org/RPC/BrachySeeds/Source_Registry.htm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http://irochouston.mdanderson.org/RPC/BrachySeeds/brachySeeds.htm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Policies</dc:title>
  <dc:subject/>
  <dc:creator>Geoffrey Ibbott</dc:creator>
  <cp:keywords/>
  <cp:lastModifiedBy>Farhana Khan</cp:lastModifiedBy>
  <cp:revision>3</cp:revision>
  <cp:lastPrinted>2014-09-19T16:29:00Z</cp:lastPrinted>
  <dcterms:created xsi:type="dcterms:W3CDTF">2022-02-16T09:22:00Z</dcterms:created>
  <dcterms:modified xsi:type="dcterms:W3CDTF">2022-02-16T09:24:00Z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